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1985"/>
        <w:gridCol w:w="2279"/>
      </w:tblGrid>
      <w:tr w:rsidR="001F5390" w:rsidRPr="00C63753" w:rsidTr="009900DD">
        <w:trPr>
          <w:jc w:val="center"/>
        </w:trPr>
        <w:tc>
          <w:tcPr>
            <w:tcW w:w="9948" w:type="dxa"/>
            <w:gridSpan w:val="3"/>
            <w:tcMar>
              <w:left w:w="0" w:type="dxa"/>
            </w:tcMar>
          </w:tcPr>
          <w:p w:rsidR="001F5390" w:rsidRPr="00C63753" w:rsidRDefault="00AC245E" w:rsidP="000407F9">
            <w:pPr>
              <w:spacing w:before="120"/>
              <w:ind w:right="83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Seventy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-first</w:t>
            </w:r>
            <w:r w:rsidR="001F5390" w:rsidRPr="00C6375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World </w:t>
            </w:r>
            <w:proofErr w:type="spellStart"/>
            <w:r w:rsidR="001F5390" w:rsidRPr="00C6375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Health</w:t>
            </w:r>
            <w:proofErr w:type="spellEnd"/>
            <w:r w:rsidR="001F5390" w:rsidRPr="00C6375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proofErr w:type="spellStart"/>
            <w:r w:rsidR="001F5390" w:rsidRPr="00C6375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Assembly</w:t>
            </w:r>
            <w:proofErr w:type="spellEnd"/>
            <w:r w:rsidR="001F5390" w:rsidRPr="00C6375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/ </w:t>
            </w:r>
            <w:r w:rsidR="009F431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S</w:t>
            </w:r>
            <w:r w:rsidR="00FA37D1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oixante et onzi</w:t>
            </w:r>
            <w:r w:rsidR="007430F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ème</w:t>
            </w:r>
            <w:r w:rsidR="009F431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1F5390" w:rsidRPr="00C6375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Assemblée mondiale de la Santé</w:t>
            </w:r>
          </w:p>
        </w:tc>
      </w:tr>
      <w:tr w:rsidR="00256E9E" w:rsidRPr="00C63753" w:rsidTr="009900DD">
        <w:trPr>
          <w:jc w:val="center"/>
        </w:trPr>
        <w:tc>
          <w:tcPr>
            <w:tcW w:w="5684" w:type="dxa"/>
            <w:tcMar>
              <w:left w:w="0" w:type="dxa"/>
              <w:bottom w:w="85" w:type="dxa"/>
              <w:right w:w="0" w:type="dxa"/>
            </w:tcMar>
          </w:tcPr>
          <w:p w:rsidR="00256E9E" w:rsidRPr="00C63753" w:rsidRDefault="00256E9E" w:rsidP="00256E9E">
            <w:pPr>
              <w:ind w:right="83"/>
              <w:rPr>
                <w:rFonts w:asciiTheme="minorBidi" w:hAnsiTheme="minorBidi" w:cstheme="minorBidi"/>
                <w:sz w:val="18"/>
                <w:szCs w:val="18"/>
                <w:lang w:val="fr-FR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>Palais des Nations</w:t>
            </w:r>
          </w:p>
          <w:p w:rsidR="00256E9E" w:rsidRPr="00C63753" w:rsidRDefault="00256E9E" w:rsidP="00897481">
            <w:pPr>
              <w:ind w:right="83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FR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May 201</w:t>
            </w:r>
            <w:r w:rsidR="00AC245E">
              <w:rPr>
                <w:rFonts w:asciiTheme="minorBidi" w:hAnsiTheme="minorBidi" w:cstheme="minorBidi"/>
                <w:sz w:val="18"/>
                <w:szCs w:val="18"/>
                <w:lang w:val="fr-CH"/>
              </w:rPr>
              <w:t>8</w:t>
            </w:r>
            <w:r w:rsidR="00843849"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 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/</w:t>
            </w:r>
            <w:r w:rsidR="00843849"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 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Mai 201</w:t>
            </w:r>
            <w:r w:rsidR="00AC245E">
              <w:rPr>
                <w:rFonts w:asciiTheme="minorBidi" w:hAnsiTheme="minorBid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85" w:type="dxa"/>
            <w:tcMar>
              <w:left w:w="0" w:type="dxa"/>
              <w:bottom w:w="85" w:type="dxa"/>
              <w:right w:w="0" w:type="dxa"/>
            </w:tcMar>
            <w:vAlign w:val="bottom"/>
          </w:tcPr>
          <w:p w:rsidR="00256E9E" w:rsidRPr="00C63753" w:rsidRDefault="00256E9E" w:rsidP="0028018E">
            <w:pPr>
              <w:ind w:right="142"/>
              <w:jc w:val="right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  <w:tcMar>
              <w:left w:w="0" w:type="dxa"/>
              <w:bottom w:w="85" w:type="dxa"/>
              <w:right w:w="0" w:type="dxa"/>
            </w:tcMar>
            <w:vAlign w:val="center"/>
          </w:tcPr>
          <w:p w:rsidR="00256E9E" w:rsidRPr="00C63753" w:rsidRDefault="00256E9E" w:rsidP="00256E9E">
            <w:pPr>
              <w:rPr>
                <w:rFonts w:asciiTheme="minorBidi" w:hAnsiTheme="minorBidi" w:cstheme="minorBidi"/>
                <w:bCs/>
                <w:sz w:val="18"/>
                <w:szCs w:val="18"/>
                <w:lang w:val="fr-CH"/>
              </w:rPr>
            </w:pPr>
          </w:p>
        </w:tc>
      </w:tr>
    </w:tbl>
    <w:p w:rsidR="00822D09" w:rsidRPr="00C63753" w:rsidRDefault="00843849" w:rsidP="00BC343A">
      <w:pPr>
        <w:spacing w:before="360" w:after="480"/>
        <w:ind w:right="83"/>
        <w:jc w:val="center"/>
        <w:rPr>
          <w:rFonts w:asciiTheme="minorBidi" w:hAnsiTheme="minorBidi" w:cstheme="minorBidi"/>
          <w:b/>
          <w:bCs/>
          <w:sz w:val="28"/>
          <w:szCs w:val="28"/>
          <w:lang w:val="fr-FR"/>
        </w:rPr>
      </w:pPr>
      <w:proofErr w:type="spellStart"/>
      <w:r w:rsidRPr="00C63753">
        <w:rPr>
          <w:rFonts w:asciiTheme="minorBidi" w:hAnsiTheme="minorBidi" w:cstheme="minorBidi"/>
          <w:b/>
          <w:bCs/>
          <w:sz w:val="28"/>
          <w:szCs w:val="28"/>
          <w:lang w:val="fr-CH"/>
        </w:rPr>
        <w:t>Side</w:t>
      </w:r>
      <w:proofErr w:type="spellEnd"/>
      <w:r w:rsidRPr="00C63753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</w:t>
      </w:r>
      <w:proofErr w:type="spellStart"/>
      <w:r w:rsidRPr="00C63753">
        <w:rPr>
          <w:rFonts w:asciiTheme="minorBidi" w:hAnsiTheme="minorBidi" w:cstheme="minorBidi"/>
          <w:b/>
          <w:bCs/>
          <w:sz w:val="28"/>
          <w:szCs w:val="28"/>
          <w:lang w:val="fr-CH"/>
        </w:rPr>
        <w:t>event</w:t>
      </w:r>
      <w:proofErr w:type="spellEnd"/>
      <w:r w:rsidR="00BC343A" w:rsidRPr="00C63753">
        <w:rPr>
          <w:rFonts w:asciiTheme="minorBidi" w:hAnsiTheme="minorBidi" w:cstheme="minorBidi"/>
          <w:b/>
          <w:bCs/>
          <w:sz w:val="28"/>
          <w:szCs w:val="28"/>
          <w:lang w:val="fr-CH"/>
        </w:rPr>
        <w:t xml:space="preserve"> application</w:t>
      </w:r>
      <w:r w:rsidR="00132BC7" w:rsidRPr="00C63753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/ Formulaire de demande de réunion parallèle</w:t>
      </w:r>
    </w:p>
    <w:tbl>
      <w:tblPr>
        <w:tblStyle w:val="TableGrid"/>
        <w:tblW w:w="1036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1"/>
        <w:gridCol w:w="2992"/>
      </w:tblGrid>
      <w:tr w:rsidR="004777F4" w:rsidRPr="00C63753" w:rsidTr="00497079">
        <w:tc>
          <w:tcPr>
            <w:tcW w:w="1036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8" w:type="dxa"/>
              <w:left w:w="28" w:type="dxa"/>
              <w:bottom w:w="28" w:type="dxa"/>
            </w:tcMar>
          </w:tcPr>
          <w:p w:rsidR="004777F4" w:rsidRPr="00C63753" w:rsidRDefault="004777F4" w:rsidP="007E5E9A">
            <w:pPr>
              <w:spacing w:before="240"/>
              <w:ind w:right="83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 xml:space="preserve">Contact </w:t>
            </w:r>
          </w:p>
        </w:tc>
      </w:tr>
      <w:tr w:rsidR="005F5372" w:rsidRPr="00C63753" w:rsidTr="00820027">
        <w:trPr>
          <w:trHeight w:val="283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5F5372" w:rsidRPr="00C63753" w:rsidRDefault="009F4316" w:rsidP="00D15736">
            <w:pPr>
              <w:spacing w:before="40" w:after="40"/>
              <w:ind w:right="85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166494">
              <w:rPr>
                <w:rFonts w:asciiTheme="minorBidi" w:hAnsiTheme="minorBidi" w:cstheme="minorBidi"/>
                <w:sz w:val="18"/>
                <w:szCs w:val="18"/>
                <w:lang w:val="en-US"/>
              </w:rPr>
              <w:t>Name/Nom</w:t>
            </w:r>
            <w:r w:rsidR="005F5372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: 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instrText xml:space="preserve"> FORMTEXT </w:instrTex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separate"/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end"/>
            </w:r>
            <w:bookmarkEnd w:id="0"/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:rsidR="005F5372" w:rsidRPr="00C63753" w:rsidRDefault="005F5372" w:rsidP="00D15736">
            <w:pPr>
              <w:ind w:right="83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Date</w:t>
            </w:r>
            <w:bookmarkStart w:id="1" w:name="Text1"/>
            <w:r w:rsidR="00107B7C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of application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bookmarkEnd w:id="1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instrText xml:space="preserve"> FORMTEXT </w:instrTex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separate"/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end"/>
            </w:r>
            <w:bookmarkEnd w:id="2"/>
          </w:p>
        </w:tc>
      </w:tr>
      <w:tr w:rsidR="00D90802" w:rsidRPr="00C63753" w:rsidTr="00524A4F">
        <w:trPr>
          <w:trHeight w:hRule="exact" w:val="850"/>
        </w:trPr>
        <w:tc>
          <w:tcPr>
            <w:tcW w:w="10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D90802" w:rsidRPr="00524A4F" w:rsidRDefault="00D90802" w:rsidP="00A17292">
            <w:pPr>
              <w:spacing w:before="80"/>
              <w:ind w:right="85"/>
              <w:rPr>
                <w:rFonts w:asciiTheme="minorBidi" w:hAnsiTheme="minorBidi" w:cstheme="minorBidi"/>
                <w:sz w:val="18"/>
                <w:szCs w:val="18"/>
                <w:lang w:val="fr-FR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Delegation</w:t>
            </w:r>
            <w:r w:rsidR="00D16071">
              <w:rPr>
                <w:rFonts w:asciiTheme="minorBidi" w:hAnsiTheme="minorBidi" w:cstheme="minorBidi"/>
                <w:sz w:val="18"/>
                <w:szCs w:val="18"/>
                <w:lang w:val="en-US"/>
              </w:rPr>
              <w:t>(s)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/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Délégation</w:t>
            </w:r>
            <w:proofErr w:type="spellEnd"/>
            <w:r w:rsidR="00D16071">
              <w:rPr>
                <w:rFonts w:asciiTheme="minorBidi" w:hAnsiTheme="minorBidi" w:cstheme="minorBidi"/>
                <w:sz w:val="18"/>
                <w:szCs w:val="18"/>
                <w:lang w:val="en-US"/>
              </w:rPr>
              <w:t>(s)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: </w:t>
            </w:r>
            <w:r w:rsidR="00A17292" w:rsidRPr="00E74EF4">
              <w:rPr>
                <w:rFonts w:ascii="Sylfaen" w:hAnsi="Sylfaen" w:cstheme="minorBidi"/>
                <w:b/>
                <w:sz w:val="22"/>
                <w:szCs w:val="22"/>
                <w:lang w:val="en-US"/>
              </w:rPr>
              <w:t>Georgia</w:t>
            </w:r>
          </w:p>
        </w:tc>
      </w:tr>
      <w:tr w:rsidR="000466D0" w:rsidRPr="00C63753" w:rsidTr="00820027">
        <w:trPr>
          <w:trHeight w:val="283"/>
        </w:trPr>
        <w:tc>
          <w:tcPr>
            <w:tcW w:w="10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0466D0" w:rsidRPr="00C63753" w:rsidRDefault="000466D0" w:rsidP="00D15736">
            <w:pPr>
              <w:spacing w:before="40" w:after="40"/>
              <w:ind w:right="85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Telephone, Email/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Téléphone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courriel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r w:rsidR="00F3505F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instrText xml:space="preserve"> FORMTEXT </w:instrTex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separate"/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end"/>
            </w:r>
            <w:bookmarkEnd w:id="3"/>
          </w:p>
        </w:tc>
      </w:tr>
      <w:tr w:rsidR="004777F4" w:rsidRPr="00C63753" w:rsidTr="00B84B0F">
        <w:tc>
          <w:tcPr>
            <w:tcW w:w="1036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</w:tcMar>
          </w:tcPr>
          <w:p w:rsidR="00107B7C" w:rsidRDefault="00107B7C" w:rsidP="00524A4F">
            <w:pPr>
              <w:spacing w:before="280" w:after="120"/>
              <w:ind w:right="85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Concept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3"/>
            </w:tblGrid>
            <w:tr w:rsidR="00870C8C" w:rsidTr="00820027">
              <w:trPr>
                <w:trHeight w:val="8391"/>
              </w:trPr>
              <w:tc>
                <w:tcPr>
                  <w:tcW w:w="10263" w:type="dxa"/>
                </w:tcPr>
                <w:p w:rsidR="00870C8C" w:rsidRPr="00BD2158" w:rsidRDefault="00870C8C" w:rsidP="00B84B0F">
                  <w:pPr>
                    <w:spacing w:before="80"/>
                    <w:ind w:right="85"/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Description of </w:t>
                  </w:r>
                  <w:r w:rsidRPr="00BD2158">
                    <w:rPr>
                      <w:rFonts w:ascii="Arial" w:hAnsi="Arial" w:cs="Arial"/>
                      <w:sz w:val="18"/>
                      <w:szCs w:val="18"/>
                    </w:rPr>
                    <w:t>proposed</w:t>
                  </w:r>
                  <w:r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Pr="00BD2158">
                    <w:rPr>
                      <w:rFonts w:ascii="Arial" w:hAnsi="Arial" w:cs="Arial"/>
                      <w:sz w:val="18"/>
                      <w:szCs w:val="18"/>
                    </w:rPr>
                    <w:t>side event, including</w:t>
                  </w:r>
                  <w:r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 objective, </w:t>
                  </w:r>
                  <w:r w:rsidRPr="00BD2158">
                    <w:rPr>
                      <w:rFonts w:ascii="Arial" w:hAnsi="Arial" w:cs="Arial"/>
                      <w:sz w:val="18"/>
                      <w:szCs w:val="18"/>
                    </w:rPr>
                    <w:t>expected results, proposed programme and speakers</w:t>
                  </w:r>
                  <w:r w:rsidR="00060842" w:rsidRPr="00BD2158">
                    <w:rPr>
                      <w:rFonts w:ascii="Arial" w:hAnsi="Arial" w:cs="Arial"/>
                      <w:sz w:val="18"/>
                      <w:szCs w:val="18"/>
                    </w:rPr>
                    <w:t>*</w:t>
                  </w:r>
                  <w:r w:rsidRPr="00BD21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/</w:t>
                  </w:r>
                </w:p>
                <w:p w:rsidR="00870C8C" w:rsidRDefault="00D57CBA" w:rsidP="00524A4F">
                  <w:pPr>
                    <w:ind w:right="85"/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Description de la réunion </w:t>
                  </w:r>
                  <w:r w:rsidR="00FB2CF8"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parallèle </w:t>
                  </w:r>
                  <w:r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proposée,</w:t>
                  </w:r>
                  <w:r w:rsidR="00FB2CF8"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 y compris l</w:t>
                  </w:r>
                  <w:r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es objectifs, les résultats attendus, l’ordre du jour et les orateurs</w:t>
                  </w:r>
                  <w:r w:rsidR="00060842"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*</w:t>
                  </w:r>
                  <w:r w:rsidRPr="00BD2158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 : </w:t>
                  </w:r>
                </w:p>
                <w:p w:rsidR="002310AC" w:rsidRPr="00BD2158" w:rsidRDefault="002310AC" w:rsidP="00524A4F">
                  <w:pPr>
                    <w:ind w:right="85"/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</w:p>
                <w:p w:rsidR="00FB701A" w:rsidRPr="003E5127" w:rsidRDefault="006D352A" w:rsidP="002E4C97">
                  <w:pPr>
                    <w:spacing w:before="120"/>
                    <w:ind w:right="85"/>
                    <w:contextualSpacing/>
                    <w:jc w:val="both"/>
                    <w:rPr>
                      <w:rFonts w:ascii="Sylfaen" w:eastAsiaTheme="minorEastAsia" w:hAnsi="Sylfaen"/>
                      <w:bCs/>
                      <w:sz w:val="22"/>
                      <w:szCs w:val="22"/>
                      <w:lang w:val="en-US"/>
                    </w:rPr>
                  </w:pPr>
                  <w:r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In </w:t>
                  </w:r>
                  <w:r w:rsidR="002310AC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2012 the </w:t>
                  </w:r>
                  <w:r w:rsidR="00FB701A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Government of Georgia declared the healthcare as its</w:t>
                  </w:r>
                  <w:r w:rsidR="002310AC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political priority</w:t>
                  </w:r>
                  <w:r w:rsidR="00FB701A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and started implementing major reforms to increase accessibility and affordability of population to the healthcare services</w:t>
                  </w:r>
                  <w:r w:rsidR="002310AC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. In </w:t>
                  </w:r>
                  <w:r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2013, Government </w:t>
                  </w:r>
                  <w:r w:rsidR="00FB701A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introduced</w:t>
                  </w:r>
                  <w:r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a </w:t>
                  </w:r>
                  <w:r w:rsidR="00FB701A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U</w:t>
                  </w:r>
                  <w:r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niversal </w:t>
                  </w:r>
                  <w:r w:rsidR="00FB701A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H</w:t>
                  </w:r>
                  <w:r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ealthcare </w:t>
                  </w:r>
                  <w:r w:rsidR="00FB701A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P</w:t>
                  </w:r>
                  <w:r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rogram, </w:t>
                  </w:r>
                  <w:r w:rsidR="00FB701A" w:rsidRPr="003E5127">
                    <w:rPr>
                      <w:rFonts w:ascii="Sylfaen" w:eastAsiaTheme="minorEastAsia" w:hAnsi="Sylfaen"/>
                      <w:bCs/>
                      <w:sz w:val="22"/>
                      <w:szCs w:val="22"/>
                      <w:lang w:val="en-US"/>
                    </w:rPr>
                    <w:t>aim</w:t>
                  </w:r>
                  <w:r w:rsidR="00FB701A" w:rsidRPr="003E5127">
                    <w:rPr>
                      <w:rFonts w:ascii="Sylfaen" w:eastAsiaTheme="minorEastAsia" w:hAnsi="Sylfaen"/>
                      <w:bCs/>
                      <w:sz w:val="22"/>
                      <w:szCs w:val="22"/>
                      <w:lang w:val="en-US"/>
                    </w:rPr>
                    <w:t xml:space="preserve">ing </w:t>
                  </w:r>
                  <w:r w:rsidR="00FB701A" w:rsidRPr="003E5127">
                    <w:rPr>
                      <w:rFonts w:ascii="Sylfaen" w:eastAsiaTheme="minorEastAsia" w:hAnsi="Sylfaen"/>
                      <w:bCs/>
                      <w:sz w:val="22"/>
                      <w:szCs w:val="22"/>
                      <w:lang w:val="en-US"/>
                    </w:rPr>
                    <w:t xml:space="preserve">at improving the general population’s access to healthcare, particularly </w:t>
                  </w:r>
                  <w:r w:rsidR="00FB701A" w:rsidRPr="003E5127">
                    <w:rPr>
                      <w:rFonts w:ascii="Sylfaen" w:eastAsiaTheme="minorEastAsia" w:hAnsi="Sylfaen"/>
                      <w:bCs/>
                      <w:sz w:val="22"/>
                      <w:szCs w:val="22"/>
                      <w:lang w:val="en-US"/>
                    </w:rPr>
                    <w:t xml:space="preserve">those relatively less well-off </w:t>
                  </w:r>
                  <w:r w:rsidR="00FB701A" w:rsidRPr="003E5127">
                    <w:rPr>
                      <w:rFonts w:ascii="Sylfaen" w:eastAsiaTheme="minorEastAsia" w:hAnsi="Sylfaen"/>
                      <w:bCs/>
                      <w:sz w:val="22"/>
                      <w:szCs w:val="22"/>
                      <w:lang w:val="en-US"/>
                    </w:rPr>
                    <w:t>and being less prone to impoverishment or catastrophic out-of-pocket spending on healthcare. This was achieved through a strong political commitment and process to create an equitable health financing system.</w:t>
                  </w:r>
                </w:p>
                <w:p w:rsidR="00FB701A" w:rsidRPr="003E5127" w:rsidRDefault="00FB701A" w:rsidP="002E4C97">
                  <w:pPr>
                    <w:spacing w:before="120"/>
                    <w:ind w:right="85"/>
                    <w:contextualSpacing/>
                    <w:jc w:val="both"/>
                    <w:rPr>
                      <w:rFonts w:ascii="Sylfaen" w:eastAsiaTheme="minorEastAsia" w:hAnsi="Sylfaen"/>
                      <w:bCs/>
                      <w:sz w:val="22"/>
                      <w:szCs w:val="22"/>
                      <w:lang w:val="en-US"/>
                    </w:rPr>
                  </w:pPr>
                </w:p>
                <w:p w:rsidR="009C4422" w:rsidRPr="003E5127" w:rsidRDefault="00FB701A" w:rsidP="00734F21">
                  <w:pPr>
                    <w:spacing w:before="120"/>
                    <w:ind w:right="85"/>
                    <w:contextualSpacing/>
                    <w:jc w:val="both"/>
                    <w:rPr>
                      <w:rFonts w:ascii="Sylfaen" w:hAnsi="Sylfaen" w:cstheme="minorHAnsi"/>
                      <w:bCs/>
                      <w:iCs/>
                      <w:color w:val="000000"/>
                      <w:sz w:val="22"/>
                      <w:szCs w:val="22"/>
                      <w:lang w:val="en-US"/>
                    </w:rPr>
                  </w:pP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H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ealth policy oriented towards the population health and well-being 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was reflected 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by unprecedented increase in state allocations for health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:  healthcare budget doubled;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Public health spending as a share of GDP has also in</w:t>
                  </w:r>
                  <w:r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creased</w:t>
                  </w:r>
                  <w:r w:rsidR="009C4422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from 1.7% to 3.1%</w:t>
                  </w:r>
                  <w:r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.</w:t>
                  </w:r>
                  <w:r w:rsidRPr="003E5127">
                    <w:rPr>
                      <w:rFonts w:ascii="Sylfaen" w:hAnsi="Sylfaen" w:cstheme="minorHAnsi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UHC program enabled basic benefit package coverage to the 100% of country population</w:t>
                  </w:r>
                  <w:r w:rsidR="00734F21" w:rsidRPr="003E512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</w:t>
                  </w:r>
                  <w:r w:rsidR="00734F21" w:rsidRPr="003E5127">
                    <w:rPr>
                      <w:rFonts w:ascii="Sylfaen" w:hAnsi="Sylfaen" w:cstheme="minorHAnsi"/>
                      <w:bCs/>
                      <w:iCs/>
                      <w:color w:val="000000"/>
                      <w:sz w:val="22"/>
                      <w:szCs w:val="22"/>
                      <w:lang w:val="en-US"/>
                    </w:rPr>
                    <w:t xml:space="preserve">and </w:t>
                  </w:r>
                  <w:r w:rsidR="00734F21" w:rsidRPr="003E5127">
                    <w:rPr>
                      <w:rFonts w:ascii="Sylfaen" w:hAnsi="Sylfaen" w:cstheme="minorHAnsi"/>
                      <w:bCs/>
                      <w:iCs/>
                      <w:color w:val="000000"/>
                      <w:sz w:val="22"/>
                      <w:szCs w:val="22"/>
                      <w:lang w:val="en-US"/>
                    </w:rPr>
                    <w:t xml:space="preserve">financing of </w:t>
                  </w:r>
                  <w:r w:rsidR="00734F21" w:rsidRPr="003E5127">
                    <w:rPr>
                      <w:rFonts w:ascii="Sylfaen" w:hAnsi="Sylfaen" w:cstheme="minorHAnsi"/>
                      <w:bCs/>
                      <w:iCs/>
                      <w:color w:val="000000"/>
                      <w:sz w:val="22"/>
                      <w:szCs w:val="22"/>
                      <w:lang w:val="en-US"/>
                    </w:rPr>
                    <w:t>planned ambulatory care, elective surgery, chemo-, hormone-, and radiotherapy, obstetrics and cesarean sections</w:t>
                  </w:r>
                  <w:r w:rsidR="00734F21" w:rsidRPr="003E5127">
                    <w:rPr>
                      <w:rFonts w:ascii="Sylfaen" w:hAnsi="Sylfaen" w:cstheme="minorHAnsi"/>
                      <w:bCs/>
                      <w:iCs/>
                      <w:color w:val="000000"/>
                      <w:sz w:val="22"/>
                      <w:szCs w:val="22"/>
                      <w:lang w:val="en-US"/>
                    </w:rPr>
                    <w:t xml:space="preserve"> to uninsured and</w:t>
                  </w:r>
                  <w:r w:rsidR="00734F21" w:rsidRPr="003E5127">
                    <w:rPr>
                      <w:rFonts w:ascii="Sylfaen" w:hAnsi="Sylfaen" w:cstheme="minorHAnsi"/>
                      <w:bCs/>
                      <w:iCs/>
                      <w:color w:val="000000"/>
                      <w:sz w:val="22"/>
                      <w:szCs w:val="22"/>
                      <w:lang w:val="en-US"/>
                    </w:rPr>
                    <w:t xml:space="preserve"> basic drugs for target groups of the population.</w:t>
                  </w:r>
                  <w:r w:rsidR="00734F21" w:rsidRPr="003E5127">
                    <w:rPr>
                      <w:rFonts w:ascii="Sylfaen" w:hAnsi="Sylfaen" w:cstheme="minorHAnsi"/>
                      <w:bCs/>
                      <w:iCs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9C4422" w:rsidRPr="003E5127" w:rsidRDefault="009C4422" w:rsidP="00734F21">
                  <w:pPr>
                    <w:spacing w:before="120"/>
                    <w:ind w:right="85"/>
                    <w:contextualSpacing/>
                    <w:jc w:val="both"/>
                    <w:rPr>
                      <w:rFonts w:ascii="Sylfaen" w:hAnsi="Sylfaen" w:cstheme="minorHAnsi"/>
                      <w:bCs/>
                      <w:iCs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FB701A" w:rsidRPr="003E5127" w:rsidRDefault="009C4422" w:rsidP="00734F21">
                  <w:pPr>
                    <w:spacing w:before="120"/>
                    <w:ind w:right="85"/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  <w:r w:rsidRPr="003E5127">
                    <w:rPr>
                      <w:rFonts w:ascii="Sylfaen" w:hAnsi="Sylfaen" w:cstheme="minorHAnsi"/>
                      <w:bCs/>
                      <w:iCs/>
                      <w:color w:val="000000"/>
                      <w:sz w:val="22"/>
                      <w:szCs w:val="22"/>
                      <w:lang w:val="en-US"/>
                    </w:rPr>
                    <w:t xml:space="preserve">As one of the best examples of the Universal Health coverage in the country we would like to introduce hepatitis C elimination </w:t>
                  </w:r>
                  <w:r w:rsidRPr="00830985">
                    <w:rPr>
                      <w:rFonts w:ascii="Sylfaen" w:hAnsi="Sylfaen" w:cstheme="minorHAnsi"/>
                      <w:bCs/>
                      <w:iCs/>
                      <w:sz w:val="22"/>
                      <w:szCs w:val="22"/>
                      <w:lang w:val="en-US"/>
                    </w:rPr>
                    <w:t xml:space="preserve">program </w:t>
                  </w:r>
                  <w:r w:rsidRPr="003E5127">
                    <w:rPr>
                      <w:rFonts w:ascii="Sylfaen" w:hAnsi="Sylfaen" w:cstheme="minorHAnsi"/>
                      <w:bCs/>
                      <w:iCs/>
                      <w:color w:val="000000"/>
                      <w:sz w:val="22"/>
                      <w:szCs w:val="22"/>
                      <w:lang w:val="en-US"/>
                    </w:rPr>
                    <w:t xml:space="preserve">in Georgia. 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According to the latest population-based </w:t>
                  </w:r>
                  <w:proofErr w:type="spellStart"/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seroprevalence</w:t>
                  </w:r>
                  <w:proofErr w:type="spellEnd"/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survey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(2015)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, 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Georgia is among 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the countries with high hepatitis C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prevalence. T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he national </w:t>
                  </w:r>
                  <w:proofErr w:type="spellStart"/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seroprevalence</w:t>
                  </w:r>
                  <w:proofErr w:type="spellEnd"/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of Hepatitis C is estimated as 7.7% and the prevalence of active disease (HCV RNA positive) is 5.4%.</w:t>
                  </w: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which in absolute figures equals to 150 000 persons.</w:t>
                  </w:r>
                </w:p>
                <w:p w:rsidR="00DC5CA2" w:rsidRPr="003E5127" w:rsidRDefault="00DC5CA2" w:rsidP="00734F21">
                  <w:pPr>
                    <w:spacing w:before="120"/>
                    <w:ind w:right="85"/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</w:p>
                <w:p w:rsidR="00DC5CA2" w:rsidRPr="003E5127" w:rsidRDefault="00131170" w:rsidP="00DC5CA2">
                  <w:pPr>
                    <w:spacing w:after="200"/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Since 2011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</w:rPr>
                    <w:t xml:space="preserve">Georgia 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started fragmented response to hepatitis 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</w:rPr>
                    <w:t>C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</w:rPr>
                    <w:t xml:space="preserve"> for selected groups of population: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</w:rPr>
                    <w:t xml:space="preserve"> Interferon-based 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</w:rPr>
                    <w:t>regimens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</w:rPr>
                    <w:t xml:space="preserve">for 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HIV/HCV co-infected patients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</w:rPr>
                    <w:t>financed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</w:rPr>
                    <w:t xml:space="preserve"> by the Global Fund 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</w:rPr>
                    <w:t>(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150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patients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per year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since 2011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</w:rPr>
                    <w:t>)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</w:rPr>
                    <w:t xml:space="preserve"> and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</w:rPr>
                    <w:t xml:space="preserve"> 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all 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penitentiary 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patients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(since 2013)</w:t>
                  </w:r>
                  <w:r w:rsidR="00DC5CA2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.</w:t>
                  </w:r>
                </w:p>
                <w:p w:rsidR="00DC5CA2" w:rsidRPr="003E5127" w:rsidRDefault="00DC5CA2" w:rsidP="00DC5CA2">
                  <w:pPr>
                    <w:spacing w:after="200"/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</w:p>
                <w:p w:rsidR="00936CC5" w:rsidRDefault="00DC5CA2" w:rsidP="00936CC5">
                  <w:pPr>
                    <w:spacing w:after="200"/>
                    <w:contextualSpacing/>
                    <w:jc w:val="both"/>
                    <w:rPr>
                      <w:sz w:val="23"/>
                      <w:szCs w:val="23"/>
                    </w:rPr>
                  </w:pPr>
                  <w:r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Since 2015</w:t>
                  </w:r>
                  <w:r w:rsidR="003E5127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after successful negotiations with Gilead Sciences and</w:t>
                  </w:r>
                  <w:r w:rsidR="00354B5B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US </w:t>
                  </w:r>
                  <w:r w:rsidR="003E5127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CDC Georgia initiated unprecedented hepatitis </w:t>
                  </w:r>
                  <w:r w:rsidR="00354B5B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C </w:t>
                  </w:r>
                  <w:r w:rsidR="003E5127" w:rsidRPr="003E5127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elimination program</w:t>
                  </w:r>
                  <w:r w:rsidR="00354B5B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. National Hepatitis C Elimination Strategy and Action plan was elaborated, with the following targets set for 2020:</w:t>
                  </w:r>
                  <w:r w:rsidR="00354B5B">
                    <w:rPr>
                      <w:sz w:val="23"/>
                      <w:szCs w:val="23"/>
                    </w:rPr>
                    <w:t xml:space="preserve"> </w:t>
                  </w:r>
                  <w:r w:rsidR="00354B5B">
                    <w:rPr>
                      <w:sz w:val="23"/>
                      <w:szCs w:val="23"/>
                    </w:rPr>
                    <w:t xml:space="preserve">90% of HCV infected persons </w:t>
                  </w:r>
                  <w:r w:rsidR="00354B5B">
                    <w:rPr>
                      <w:sz w:val="23"/>
                      <w:szCs w:val="23"/>
                    </w:rPr>
                    <w:t>to be tested for the</w:t>
                  </w:r>
                  <w:r w:rsidR="00354B5B">
                    <w:rPr>
                      <w:sz w:val="23"/>
                      <w:szCs w:val="23"/>
                    </w:rPr>
                    <w:t xml:space="preserve"> infection</w:t>
                  </w:r>
                  <w:r w:rsidR="00354B5B">
                    <w:rPr>
                      <w:sz w:val="23"/>
                      <w:szCs w:val="23"/>
                    </w:rPr>
                    <w:t xml:space="preserve">, </w:t>
                  </w:r>
                  <w:r w:rsidR="00354B5B">
                    <w:rPr>
                      <w:sz w:val="23"/>
                      <w:szCs w:val="23"/>
                    </w:rPr>
                    <w:t>95% of people with chronic infection</w:t>
                  </w:r>
                  <w:r w:rsidR="00936CC5">
                    <w:rPr>
                      <w:sz w:val="23"/>
                      <w:szCs w:val="23"/>
                    </w:rPr>
                    <w:t xml:space="preserve"> to be enrolled in treatment</w:t>
                  </w:r>
                  <w:r w:rsidR="00354B5B">
                    <w:rPr>
                      <w:sz w:val="23"/>
                      <w:szCs w:val="23"/>
                    </w:rPr>
                    <w:t xml:space="preserve">, and 95% of persons who receive treatment </w:t>
                  </w:r>
                  <w:r w:rsidR="00936CC5">
                    <w:rPr>
                      <w:sz w:val="23"/>
                      <w:szCs w:val="23"/>
                    </w:rPr>
                    <w:t>to be cured from HCV.</w:t>
                  </w:r>
                </w:p>
                <w:p w:rsidR="00936CC5" w:rsidRDefault="00936CC5" w:rsidP="00936CC5">
                  <w:pPr>
                    <w:spacing w:after="200"/>
                    <w:contextualSpacing/>
                    <w:jc w:val="both"/>
                    <w:rPr>
                      <w:sz w:val="23"/>
                      <w:szCs w:val="23"/>
                    </w:rPr>
                  </w:pPr>
                </w:p>
                <w:p w:rsidR="00936CC5" w:rsidRDefault="00936CC5" w:rsidP="00936CC5">
                  <w:pPr>
                    <w:tabs>
                      <w:tab w:val="left" w:pos="0"/>
                    </w:tabs>
                    <w:spacing w:after="200"/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sz w:val="23"/>
                      <w:szCs w:val="23"/>
                    </w:rPr>
                    <w:t>Rapid development of the program shows that Georgia is above the world average in terms of HCV screening</w:t>
                  </w:r>
                  <w:r w:rsidR="00131170">
                    <w:rPr>
                      <w:sz w:val="23"/>
                      <w:szCs w:val="23"/>
                    </w:rPr>
                    <w:t>, active infection confirmation</w:t>
                  </w:r>
                  <w:r>
                    <w:rPr>
                      <w:sz w:val="23"/>
                      <w:szCs w:val="23"/>
                    </w:rPr>
                    <w:t xml:space="preserve"> and treatment</w:t>
                  </w:r>
                  <w:r w:rsidR="00131170">
                    <w:rPr>
                      <w:sz w:val="23"/>
                      <w:szCs w:val="23"/>
                    </w:rPr>
                    <w:t xml:space="preserve"> provided free-of-charge for entire population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  <w:r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As of February, </w:t>
                  </w:r>
                  <w:r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lastRenderedPageBreak/>
                    <w:t xml:space="preserve">2018, more than 1.5 million screenings were 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performed</w:t>
                  </w:r>
                  <w:r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, among which ~974,000 were individuals with positivity rate 10.6%.</w:t>
                  </w:r>
                </w:p>
                <w:p w:rsidR="00936CC5" w:rsidRDefault="00936CC5" w:rsidP="00936CC5">
                  <w:pPr>
                    <w:tabs>
                      <w:tab w:val="left" w:pos="0"/>
                    </w:tabs>
                    <w:spacing w:after="200"/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</w:p>
                <w:p w:rsidR="00936CC5" w:rsidRPr="00936CC5" w:rsidRDefault="006A300C" w:rsidP="00936CC5">
                  <w:pPr>
                    <w:tabs>
                      <w:tab w:val="left" w:pos="0"/>
                    </w:tabs>
                    <w:spacing w:after="200"/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  <w:r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Starting with 4 sites in 2014, currently 32 service centers in different cities, including 1 center in penitentiary system, are providing diagnostic and treatment services to the elimination program beneficiaries.</w:t>
                  </w:r>
                  <w:r w:rsidR="00131170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It is planned to further decentralize services </w:t>
                  </w:r>
                  <w:r w:rsidR="003049B0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through extending HCV diagnostics and treatment into the primary healthcare system.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936CC5" w:rsidRPr="006A52F6">
                    <w:rPr>
                      <w:rFonts w:cstheme="minorHAnsi"/>
                      <w:lang w:val="en-US"/>
                    </w:rPr>
                    <w:t xml:space="preserve">Since the launch of the program in 2015 through </w:t>
                  </w:r>
                  <w:r w:rsidR="00936CC5">
                    <w:rPr>
                      <w:rFonts w:cstheme="minorHAnsi"/>
                      <w:lang w:val="en-US"/>
                    </w:rPr>
                    <w:t>February 28</w:t>
                  </w:r>
                  <w:r w:rsidR="00936CC5" w:rsidRPr="006A52F6">
                    <w:rPr>
                      <w:rFonts w:cstheme="minorHAnsi"/>
                      <w:lang w:val="en-US"/>
                    </w:rPr>
                    <w:t xml:space="preserve">, 2018, </w:t>
                  </w:r>
                  <w:r w:rsidR="00936CC5" w:rsidRPr="00936CC5">
                    <w:rPr>
                      <w:rFonts w:cstheme="minorHAnsi"/>
                      <w:lang w:val="en-US"/>
                    </w:rPr>
                    <w:t>40034</w:t>
                  </w:r>
                  <w:r w:rsidR="00936CC5" w:rsidRPr="006A52F6">
                    <w:rPr>
                      <w:rFonts w:cstheme="minorHAnsi"/>
                      <w:lang w:val="en-US"/>
                    </w:rPr>
                    <w:t xml:space="preserve"> patients completed the treatment</w:t>
                  </w:r>
                  <w:r w:rsidR="00936CC5">
                    <w:rPr>
                      <w:rFonts w:cstheme="minorHAnsi"/>
                      <w:lang w:val="en-US"/>
                    </w:rPr>
                    <w:t>.</w:t>
                  </w:r>
                  <w:r w:rsidR="00936CC5">
                    <w:rPr>
                      <w:rFonts w:cstheme="minorHAnsi"/>
                      <w:lang w:val="en-US"/>
                    </w:rPr>
                    <w:t xml:space="preserve"> </w:t>
                  </w:r>
                  <w:r w:rsidR="00936CC5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Direct-acting antiviral drugs (DAAs) show the high cure rates that reach 98%.</w:t>
                  </w:r>
                </w:p>
                <w:p w:rsidR="00A13E0A" w:rsidRPr="00D709A6" w:rsidRDefault="00A13E0A" w:rsidP="002E4C97">
                  <w:pPr>
                    <w:spacing w:after="200"/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</w:p>
                <w:p w:rsidR="00936CC5" w:rsidRDefault="001974A6" w:rsidP="00936CC5">
                  <w:pPr>
                    <w:tabs>
                      <w:tab w:val="left" w:pos="0"/>
                    </w:tabs>
                    <w:spacing w:after="200"/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  <w:r w:rsidRPr="00D709A6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Progress </w:t>
                  </w:r>
                  <w:r w:rsidR="00BF2764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also </w:t>
                  </w:r>
                  <w:r w:rsidRPr="00D709A6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include si</w:t>
                  </w:r>
                  <w:r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gnificantly strengthened infection control and prevention monitoring and evaluation system; regular screening activities among PWID and their sexual partners; improved quality control mechanisms for blood banks; </w:t>
                  </w:r>
                  <w:r w:rsidR="00936CC5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introduction of the </w:t>
                  </w:r>
                  <w:r w:rsidR="00936CC5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unified electronic HCV screening module </w:t>
                  </w:r>
                  <w:r w:rsidR="00936CC5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which</w:t>
                  </w:r>
                  <w:r w:rsidR="00936CC5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capture</w:t>
                  </w:r>
                  <w:r w:rsidR="00936CC5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s</w:t>
                  </w:r>
                  <w:r w:rsidR="00936CC5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data from all </w:t>
                  </w:r>
                  <w:r w:rsidR="00936CC5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national HCV screening programs;</w:t>
                  </w:r>
                  <w:r w:rsidR="00936CC5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HCV screening in more than 600 centers countrywide, including inpatient and outpatient facilities, prisons, G</w:t>
                  </w:r>
                  <w:r w:rsidR="00BF2764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eorgian Harm Reduction Network </w:t>
                  </w:r>
                  <w:r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centers, pharmacies, etc.; research activities for the simplification of HCV diagnostics, including studies on HCV </w:t>
                  </w:r>
                  <w:proofErr w:type="spellStart"/>
                  <w:r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cAg</w:t>
                  </w:r>
                  <w:proofErr w:type="spellEnd"/>
                  <w:r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and various PCR approaches, massive awareness raising campaigns, establishment of HCV Hotline etc.</w:t>
                  </w:r>
                  <w:r w:rsidR="00936CC5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651B74" w:rsidRPr="00D709A6" w:rsidRDefault="00651B74" w:rsidP="002E4C97">
                  <w:pPr>
                    <w:spacing w:after="200"/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</w:p>
                <w:p w:rsidR="00E74EF4" w:rsidRPr="00A35001" w:rsidRDefault="00830985" w:rsidP="00E74EF4">
                  <w:pPr>
                    <w:tabs>
                      <w:tab w:val="num" w:pos="1418"/>
                    </w:tabs>
                    <w:spacing w:after="200"/>
                    <w:contextualSpacing/>
                    <w:jc w:val="both"/>
                    <w:rPr>
                      <w:rFonts w:ascii="Sylfaen" w:hAnsi="Sylfaen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22"/>
                      <w:szCs w:val="22"/>
                      <w:shd w:val="clear" w:color="auto" w:fill="FFFFFF"/>
                    </w:rPr>
                    <w:t xml:space="preserve">While </w:t>
                  </w:r>
                  <w:r w:rsidR="006A300C" w:rsidRPr="006A300C">
                    <w:rPr>
                      <w:rFonts w:ascii="Sylfaen" w:hAnsi="Sylfaen"/>
                      <w:sz w:val="22"/>
                      <w:szCs w:val="22"/>
                      <w:shd w:val="clear" w:color="auto" w:fill="FFFFFF"/>
                    </w:rPr>
                    <w:t>7</w:t>
                  </w:r>
                  <w:r w:rsidR="006A300C">
                    <w:rPr>
                      <w:rFonts w:ascii="Sylfaen" w:hAnsi="Sylfaen"/>
                      <w:sz w:val="22"/>
                      <w:szCs w:val="22"/>
                      <w:shd w:val="clear" w:color="auto" w:fill="FFFFFF"/>
                    </w:rPr>
                    <w:t>-9</w:t>
                  </w:r>
                  <w:r w:rsidR="006A300C" w:rsidRPr="006A300C">
                    <w:rPr>
                      <w:rFonts w:ascii="Sylfaen" w:hAnsi="Sylfaen"/>
                      <w:sz w:val="22"/>
                      <w:szCs w:val="22"/>
                      <w:shd w:val="clear" w:color="auto" w:fill="FFFFFF"/>
                    </w:rPr>
                    <w:t xml:space="preserve">% of those diagnosed </w:t>
                  </w:r>
                  <w:r w:rsidR="006A300C">
                    <w:rPr>
                      <w:rFonts w:ascii="Sylfaen" w:hAnsi="Sylfaen"/>
                      <w:sz w:val="22"/>
                      <w:szCs w:val="22"/>
                      <w:shd w:val="clear" w:color="auto" w:fill="FFFFFF"/>
                    </w:rPr>
                    <w:t>starts</w:t>
                  </w:r>
                  <w:r w:rsidR="006A300C" w:rsidRPr="006A300C">
                    <w:rPr>
                      <w:rFonts w:ascii="Sylfaen" w:hAnsi="Sylfaen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A300C">
                    <w:rPr>
                      <w:rFonts w:ascii="Sylfaen" w:hAnsi="Sylfaen"/>
                      <w:sz w:val="22"/>
                      <w:szCs w:val="22"/>
                      <w:shd w:val="clear" w:color="auto" w:fill="FFFFFF"/>
                    </w:rPr>
                    <w:t>HCV</w:t>
                  </w:r>
                  <w:r w:rsidR="006A300C" w:rsidRPr="006A300C">
                    <w:rPr>
                      <w:rFonts w:ascii="Sylfaen" w:hAnsi="Sylfaen"/>
                      <w:sz w:val="22"/>
                      <w:szCs w:val="22"/>
                      <w:shd w:val="clear" w:color="auto" w:fill="FFFFFF"/>
                    </w:rPr>
                    <w:t xml:space="preserve"> treatment worldwide</w:t>
                  </w:r>
                  <w:r>
                    <w:rPr>
                      <w:rFonts w:ascii="Sylfaen" w:hAnsi="Sylfaen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="006A300C">
                    <w:rPr>
                      <w:rFonts w:ascii="Sylfaen" w:hAnsi="Sylfaen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E74EF4" w:rsidRPr="006A300C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Georgia</w:t>
                  </w:r>
                  <w:r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has the universal access to the hepatitis C diagnostic and treatment (DAAs)</w:t>
                  </w:r>
                  <w:r w:rsidR="003049B0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. Furthermore, a</w:t>
                  </w:r>
                  <w:r w:rsidR="003049B0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lmost 30% of the target po</w:t>
                  </w:r>
                  <w:r w:rsidR="003049B0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pulation have been already enrolled in the treatment </w:t>
                  </w:r>
                  <w:r w:rsidRPr="00A35001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that</w:t>
                  </w:r>
                  <w:r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makes</w:t>
                  </w:r>
                  <w:r w:rsidR="00E74EF4" w:rsidRPr="00A35001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</w:t>
                  </w:r>
                  <w:r w:rsidR="00A35001" w:rsidRPr="00A35001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Georgia </w:t>
                  </w:r>
                  <w:r w:rsidR="00A35001" w:rsidRPr="00A35001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a model country in the world for </w:t>
                  </w:r>
                  <w:r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hepatitis C</w:t>
                  </w:r>
                  <w:r w:rsidR="00A35001" w:rsidRPr="00A35001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elimination.</w:t>
                  </w:r>
                </w:p>
                <w:p w:rsidR="009141DB" w:rsidRDefault="009141DB" w:rsidP="009141DB">
                  <w:pPr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</w:p>
                <w:p w:rsidR="00E74EF4" w:rsidRDefault="009141DB" w:rsidP="002E4C97">
                  <w:pPr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  <w:r w:rsidRPr="009141DB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Objective of the side event </w:t>
                  </w:r>
                  <w:r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is to </w:t>
                  </w:r>
                  <w:r w:rsidRPr="009141DB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promote advocacy, awareness, knowledge and pa</w:t>
                  </w:r>
                  <w:r w:rsidR="00A35001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>rtnerships for HCV elimination; T</w:t>
                  </w:r>
                  <w:r w:rsidR="001974A6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o share</w:t>
                  </w:r>
                  <w:r w:rsidR="002E4C97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Georgian</w:t>
                  </w:r>
                  <w:r w:rsidR="001974A6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experience and show that </w:t>
                  </w:r>
                  <w:r w:rsidR="00E74EF4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e</w:t>
                  </w:r>
                  <w:r w:rsidR="00ED0C38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limination of Hepatitis C </w:t>
                  </w:r>
                  <w:r w:rsidR="002E4C97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is</w:t>
                  </w:r>
                  <w:r w:rsidR="00895DA9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f</w:t>
                  </w:r>
                  <w:r w:rsidR="002E4C97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easible and </w:t>
                  </w:r>
                  <w:r w:rsidR="00895DA9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a</w:t>
                  </w:r>
                  <w:r w:rsidR="002E4C97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chievable with the s</w:t>
                  </w:r>
                  <w:r w:rsidR="00E74EF4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trong Governmental commitment</w:t>
                  </w:r>
                  <w:r w:rsidR="003049B0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,</w:t>
                  </w:r>
                  <w:bookmarkStart w:id="4" w:name="_GoBack"/>
                  <w:bookmarkEnd w:id="4"/>
                  <w:r w:rsidR="00E74EF4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A35001">
                    <w:rPr>
                      <w:rFonts w:eastAsiaTheme="minorEastAsia"/>
                      <w:bCs/>
                    </w:rPr>
                    <w:t>international support</w:t>
                  </w:r>
                  <w:r w:rsidR="00A35001">
                    <w:rPr>
                      <w:rFonts w:eastAsiaTheme="minorEastAsia"/>
                      <w:bCs/>
                    </w:rPr>
                    <w:t>,</w:t>
                  </w:r>
                  <w:r w:rsidR="003049B0">
                    <w:rPr>
                      <w:rFonts w:eastAsiaTheme="minorEastAsia"/>
                      <w:bCs/>
                    </w:rPr>
                    <w:t xml:space="preserve"> successful public private partnership;</w:t>
                  </w:r>
                  <w:r w:rsidR="00A35001">
                    <w:rPr>
                      <w:rFonts w:eastAsiaTheme="minorEastAsia"/>
                      <w:bCs/>
                    </w:rPr>
                    <w:t xml:space="preserve"> </w:t>
                  </w:r>
                  <w:r w:rsidR="002E4C97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a</w:t>
                  </w:r>
                  <w:r w:rsidR="00ED0C38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vailability of modern HCV diagnostic and treatment methods; </w:t>
                  </w:r>
                  <w:r w:rsidR="002E4C97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s</w:t>
                  </w:r>
                  <w:r w:rsidR="00ED0C38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trong human resource capacity;</w:t>
                  </w:r>
                  <w:r w:rsidR="002E4C97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a</w:t>
                  </w:r>
                  <w:r w:rsidR="00ED0C38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dherence to principles of evidence-based medicine;</w:t>
                  </w:r>
                  <w:r w:rsidR="002E4C97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ex</w:t>
                  </w:r>
                  <w:r w:rsidR="00ED0C38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istence of effective systems for implementing large-scale national and international health programs, including through multi-sectoral approach;</w:t>
                  </w:r>
                  <w:r w:rsidR="002E4C97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a</w:t>
                  </w:r>
                  <w:r w:rsidR="00ED0C38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vailability of logistic and control mechanisms </w:t>
                  </w:r>
                  <w:r w:rsidR="00E74EF4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that effectively prevent leakage of medicines to local and/or neighboring markets; best practice experience in the field of HIV/A</w:t>
                  </w:r>
                  <w:r w:rsidR="00E74EF4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IDS that can be replicated for H</w:t>
                  </w:r>
                  <w:r w:rsidR="00E74EF4" w:rsidRPr="00D709A6"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epatitis C programs.</w:t>
                  </w:r>
                </w:p>
                <w:p w:rsidR="00E74EF4" w:rsidRDefault="00E74EF4" w:rsidP="002E4C97">
                  <w:pPr>
                    <w:contextualSpacing/>
                    <w:jc w:val="both"/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</w:pPr>
                </w:p>
                <w:p w:rsidR="00BD2158" w:rsidRPr="00D709A6" w:rsidRDefault="00E74EF4" w:rsidP="00E74EF4">
                  <w:pPr>
                    <w:spacing w:before="360"/>
                    <w:contextualSpacing/>
                    <w:jc w:val="both"/>
                    <w:rPr>
                      <w:rFonts w:ascii="Sylfaen" w:hAnsi="Sylfaen" w:cstheme="minorHAnsi"/>
                      <w:color w:val="FF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>Expected results are to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A35001">
                    <w:rPr>
                      <w:rFonts w:eastAsiaTheme="minorEastAsia"/>
                      <w:bCs/>
                    </w:rPr>
                    <w:t xml:space="preserve">advocate the </w:t>
                  </w:r>
                  <w:r w:rsidR="00ED4464">
                    <w:rPr>
                      <w:rFonts w:eastAsiaTheme="minorEastAsia"/>
                      <w:bCs/>
                    </w:rPr>
                    <w:t xml:space="preserve">countries </w:t>
                  </w:r>
                  <w:r w:rsidR="00ED4464">
                    <w:rPr>
                      <w:rFonts w:ascii="Sylfaen" w:eastAsiaTheme="minorEastAsia" w:hAnsi="Sylfaen"/>
                      <w:bCs/>
                      <w:lang w:val="ka-GE"/>
                    </w:rPr>
                    <w:t>to</w:t>
                  </w:r>
                  <w:r w:rsidR="00A35001" w:rsidRPr="00A35001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strengthen their efforts towards </w:t>
                  </w:r>
                  <w:r w:rsidR="00A35001">
                    <w:rPr>
                      <w:rFonts w:eastAsiaTheme="minorEastAsia"/>
                      <w:bCs/>
                    </w:rPr>
                    <w:t xml:space="preserve">disease </w:t>
                  </w:r>
                  <w:r w:rsidR="00A35001">
                    <w:rPr>
                      <w:rFonts w:eastAsiaTheme="minorEastAsia"/>
                      <w:bCs/>
                    </w:rPr>
                    <w:t>elimination</w:t>
                  </w:r>
                  <w:r>
                    <w:rPr>
                      <w:rFonts w:ascii="Sylfaen" w:hAnsi="Sylfaen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9F4A93">
                    <w:rPr>
                      <w:rFonts w:eastAsiaTheme="minorEastAsia"/>
                      <w:bCs/>
                    </w:rPr>
                    <w:t>through a strong political commitment</w:t>
                  </w:r>
                  <w:r>
                    <w:rPr>
                      <w:rFonts w:eastAsiaTheme="minorEastAsia"/>
                      <w:bCs/>
                    </w:rPr>
                    <w:t xml:space="preserve">, </w:t>
                  </w:r>
                  <w:r w:rsidR="00895DA9">
                    <w:rPr>
                      <w:rFonts w:eastAsiaTheme="minorEastAsia"/>
                      <w:bCs/>
                    </w:rPr>
                    <w:t xml:space="preserve">partnership </w:t>
                  </w:r>
                  <w:r>
                    <w:rPr>
                      <w:rFonts w:eastAsiaTheme="minorEastAsia"/>
                      <w:bCs/>
                    </w:rPr>
                    <w:t xml:space="preserve">and universal access to diagnostic </w:t>
                  </w:r>
                  <w:r w:rsidR="00895DA9">
                    <w:rPr>
                      <w:rFonts w:eastAsiaTheme="minorEastAsia"/>
                      <w:bCs/>
                    </w:rPr>
                    <w:t>and treatment services.</w:t>
                  </w:r>
                </w:p>
                <w:p w:rsidR="002E4C97" w:rsidRPr="00D709A6" w:rsidRDefault="002E4C97" w:rsidP="002E4C97">
                  <w:pPr>
                    <w:contextualSpacing/>
                    <w:jc w:val="both"/>
                    <w:rPr>
                      <w:rFonts w:ascii="Sylfaen" w:hAnsi="Sylfaen" w:cstheme="minorHAnsi"/>
                      <w:color w:val="FF0000"/>
                      <w:sz w:val="22"/>
                      <w:szCs w:val="22"/>
                      <w:lang w:val="en-US"/>
                    </w:rPr>
                  </w:pPr>
                </w:p>
                <w:p w:rsidR="002E4C97" w:rsidRPr="00D709A6" w:rsidRDefault="00A17292" w:rsidP="00A17292">
                  <w:pPr>
                    <w:contextualSpacing/>
                    <w:jc w:val="center"/>
                    <w:rPr>
                      <w:rFonts w:ascii="Sylfaen" w:hAnsi="Sylfaen" w:cs="Arial"/>
                      <w:b/>
                      <w:sz w:val="22"/>
                      <w:szCs w:val="22"/>
                      <w:lang w:val="en-US"/>
                    </w:rPr>
                  </w:pPr>
                  <w:r w:rsidRPr="00D709A6">
                    <w:rPr>
                      <w:rFonts w:ascii="Sylfaen" w:hAnsi="Sylfaen" w:cs="Arial"/>
                      <w:b/>
                      <w:sz w:val="22"/>
                      <w:szCs w:val="22"/>
                      <w:lang w:val="en-US"/>
                    </w:rPr>
                    <w:t>P</w:t>
                  </w:r>
                  <w:r w:rsidR="002E4C97" w:rsidRPr="00D709A6">
                    <w:rPr>
                      <w:rFonts w:ascii="Sylfaen" w:hAnsi="Sylfaen" w:cs="Arial"/>
                      <w:b/>
                      <w:sz w:val="22"/>
                      <w:szCs w:val="22"/>
                      <w:lang w:val="en-US"/>
                    </w:rPr>
                    <w:t xml:space="preserve">roposed </w:t>
                  </w:r>
                  <w:proofErr w:type="spellStart"/>
                  <w:r w:rsidR="002E4C97" w:rsidRPr="00D709A6">
                    <w:rPr>
                      <w:rFonts w:ascii="Sylfaen" w:hAnsi="Sylfaen" w:cs="Arial"/>
                      <w:b/>
                      <w:sz w:val="22"/>
                      <w:szCs w:val="22"/>
                      <w:lang w:val="en-US"/>
                    </w:rPr>
                    <w:t>programme</w:t>
                  </w:r>
                  <w:proofErr w:type="spellEnd"/>
                  <w:r w:rsidR="002E4C97" w:rsidRPr="00D709A6">
                    <w:rPr>
                      <w:rFonts w:ascii="Sylfaen" w:hAnsi="Sylfaen" w:cs="Arial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Pr="00D709A6">
                    <w:rPr>
                      <w:rFonts w:ascii="Sylfaen" w:hAnsi="Sylfaen" w:cs="Arial"/>
                      <w:b/>
                      <w:sz w:val="22"/>
                      <w:szCs w:val="22"/>
                      <w:lang w:val="en-US"/>
                    </w:rPr>
                    <w:t xml:space="preserve"> and speakers</w:t>
                  </w:r>
                </w:p>
                <w:p w:rsidR="002E4C97" w:rsidRPr="00D709A6" w:rsidRDefault="002E4C97" w:rsidP="002E4C97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tbl>
                  <w:tblPr>
                    <w:tblStyle w:val="TableGrid"/>
                    <w:tblW w:w="0" w:type="auto"/>
                    <w:tblInd w:w="2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25"/>
                    <w:gridCol w:w="5238"/>
                    <w:gridCol w:w="992"/>
                  </w:tblGrid>
                  <w:tr w:rsidR="00F570A3" w:rsidRPr="00D709A6" w:rsidTr="00F570A3">
                    <w:tc>
                      <w:tcPr>
                        <w:tcW w:w="3125" w:type="dxa"/>
                      </w:tcPr>
                      <w:p w:rsidR="00F570A3" w:rsidRPr="00D709A6" w:rsidRDefault="00F570A3" w:rsidP="00DE2C13">
                        <w:pPr>
                          <w:contextualSpacing/>
                          <w:jc w:val="center"/>
                          <w:rPr>
                            <w:rFonts w:ascii="Sylfaen" w:hAnsi="Sylfaen" w:cs="Arial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proofErr w:type="spellStart"/>
                        <w:r w:rsidRPr="00D709A6">
                          <w:rPr>
                            <w:rFonts w:ascii="Sylfaen" w:hAnsi="Sylfaen" w:cs="Arial"/>
                            <w:b/>
                            <w:sz w:val="22"/>
                            <w:szCs w:val="22"/>
                            <w:lang w:val="en-US"/>
                          </w:rPr>
                          <w:t>Programme</w:t>
                        </w:r>
                        <w:proofErr w:type="spellEnd"/>
                        <w:r w:rsidRPr="00D709A6">
                          <w:rPr>
                            <w:rFonts w:ascii="Sylfaen" w:hAnsi="Sylfaen" w:cs="Arial"/>
                            <w:b/>
                            <w:sz w:val="22"/>
                            <w:szCs w:val="22"/>
                            <w:lang w:val="en-US"/>
                          </w:rPr>
                          <w:t xml:space="preserve"> item</w:t>
                        </w:r>
                      </w:p>
                    </w:tc>
                    <w:tc>
                      <w:tcPr>
                        <w:tcW w:w="5238" w:type="dxa"/>
                      </w:tcPr>
                      <w:p w:rsidR="00F570A3" w:rsidRPr="00D709A6" w:rsidRDefault="00DE2C13" w:rsidP="00DE2C13">
                        <w:pPr>
                          <w:contextualSpacing/>
                          <w:jc w:val="center"/>
                          <w:rPr>
                            <w:rFonts w:ascii="Sylfaen" w:hAnsi="Sylfaen" w:cs="Arial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b/>
                            <w:sz w:val="22"/>
                            <w:szCs w:val="22"/>
                            <w:lang w:val="en-US"/>
                          </w:rPr>
                          <w:t xml:space="preserve">Facilitator / </w:t>
                        </w:r>
                        <w:r w:rsidR="00F570A3" w:rsidRPr="00D709A6">
                          <w:rPr>
                            <w:rFonts w:ascii="Sylfaen" w:hAnsi="Sylfaen" w:cs="Arial"/>
                            <w:b/>
                            <w:sz w:val="22"/>
                            <w:szCs w:val="22"/>
                            <w:lang w:val="en-US"/>
                          </w:rPr>
                          <w:t>Speaker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70A3" w:rsidRPr="00D709A6" w:rsidRDefault="00F570A3" w:rsidP="00DE2C13">
                        <w:pPr>
                          <w:contextualSpacing/>
                          <w:jc w:val="center"/>
                          <w:rPr>
                            <w:rFonts w:ascii="Sylfaen" w:hAnsi="Sylfaen" w:cs="Arial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b/>
                            <w:sz w:val="22"/>
                            <w:szCs w:val="22"/>
                            <w:lang w:val="en-US"/>
                          </w:rPr>
                          <w:t>time</w:t>
                        </w:r>
                      </w:p>
                    </w:tc>
                  </w:tr>
                  <w:tr w:rsidR="00F570A3" w:rsidRPr="00D709A6" w:rsidTr="00F570A3">
                    <w:tc>
                      <w:tcPr>
                        <w:tcW w:w="3125" w:type="dxa"/>
                      </w:tcPr>
                      <w:p w:rsidR="00F570A3" w:rsidRPr="00D709A6" w:rsidRDefault="00F570A3" w:rsidP="002E4C97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Welcome and Introduction</w:t>
                        </w:r>
                      </w:p>
                    </w:tc>
                    <w:tc>
                      <w:tcPr>
                        <w:tcW w:w="5238" w:type="dxa"/>
                      </w:tcPr>
                      <w:p w:rsidR="00F570A3" w:rsidRPr="00D709A6" w:rsidRDefault="00F570A3" w:rsidP="00DE2C1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 xml:space="preserve">Mr. David </w:t>
                        </w:r>
                        <w:proofErr w:type="spellStart"/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Sergeenko</w:t>
                        </w:r>
                        <w:proofErr w:type="spellEnd"/>
                        <w:r w:rsidR="00DE2C13"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 xml:space="preserve"> - </w:t>
                        </w: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 xml:space="preserve">Minister of </w:t>
                        </w:r>
                        <w:proofErr w:type="spellStart"/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Labour</w:t>
                        </w:r>
                        <w:proofErr w:type="spellEnd"/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, Health and Social Affairs of Georgia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70A3" w:rsidRPr="00D709A6" w:rsidRDefault="00F570A3" w:rsidP="002E4C97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10 min</w:t>
                        </w:r>
                      </w:p>
                    </w:tc>
                  </w:tr>
                  <w:tr w:rsidR="00F570A3" w:rsidRPr="00D709A6" w:rsidTr="00F570A3">
                    <w:tc>
                      <w:tcPr>
                        <w:tcW w:w="3125" w:type="dxa"/>
                      </w:tcPr>
                      <w:p w:rsidR="00F570A3" w:rsidRPr="00D709A6" w:rsidRDefault="00F570A3" w:rsidP="00F570A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“Georgia as a model Country for Universal Access to the Hepatitis C Screening and Treatment” - presentation</w:t>
                        </w:r>
                      </w:p>
                    </w:tc>
                    <w:tc>
                      <w:tcPr>
                        <w:tcW w:w="5238" w:type="dxa"/>
                      </w:tcPr>
                      <w:p w:rsidR="00F570A3" w:rsidRPr="00D709A6" w:rsidRDefault="00F570A3" w:rsidP="00DE2C1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 xml:space="preserve">Mr. David </w:t>
                        </w:r>
                        <w:proofErr w:type="spellStart"/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Sergeenko</w:t>
                        </w:r>
                        <w:proofErr w:type="spellEnd"/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DE2C13"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 xml:space="preserve">- Minister of </w:t>
                        </w:r>
                        <w:proofErr w:type="spellStart"/>
                        <w:r w:rsidR="00DE2C13"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Labour</w:t>
                        </w:r>
                        <w:proofErr w:type="spellEnd"/>
                        <w:r w:rsidR="00DE2C13"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 xml:space="preserve">, Health and Social Affairs of Georgia  </w:t>
                        </w:r>
                        <w:r w:rsidR="00DE2C13" w:rsidRPr="00D709A6">
                          <w:rPr>
                            <w:rFonts w:ascii="Sylfaen" w:hAnsi="Sylfaen" w:cs="Arial"/>
                            <w:i/>
                            <w:sz w:val="22"/>
                            <w:szCs w:val="22"/>
                            <w:lang w:val="en-US"/>
                          </w:rPr>
                          <w:t>TBC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70A3" w:rsidRPr="00D709A6" w:rsidRDefault="00F570A3" w:rsidP="00F570A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20 min</w:t>
                        </w:r>
                      </w:p>
                    </w:tc>
                  </w:tr>
                  <w:tr w:rsidR="00F570A3" w:rsidRPr="00D709A6" w:rsidTr="00F570A3">
                    <w:tc>
                      <w:tcPr>
                        <w:tcW w:w="3125" w:type="dxa"/>
                      </w:tcPr>
                      <w:p w:rsidR="00F570A3" w:rsidRPr="00D709A6" w:rsidRDefault="00F570A3" w:rsidP="00F570A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Q&amp;A</w:t>
                        </w:r>
                      </w:p>
                      <w:p w:rsidR="00F570A3" w:rsidRPr="00D709A6" w:rsidRDefault="00F570A3" w:rsidP="00F570A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5238" w:type="dxa"/>
                      </w:tcPr>
                      <w:p w:rsidR="00F570A3" w:rsidRPr="00D709A6" w:rsidRDefault="00F570A3" w:rsidP="00F570A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All participants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70A3" w:rsidRPr="00D709A6" w:rsidRDefault="00F570A3" w:rsidP="00F570A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30 min</w:t>
                        </w:r>
                      </w:p>
                    </w:tc>
                  </w:tr>
                  <w:tr w:rsidR="00F570A3" w:rsidRPr="00D709A6" w:rsidTr="00F570A3">
                    <w:tc>
                      <w:tcPr>
                        <w:tcW w:w="3125" w:type="dxa"/>
                      </w:tcPr>
                      <w:p w:rsidR="00F570A3" w:rsidRPr="00D709A6" w:rsidRDefault="00F570A3" w:rsidP="00F570A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Light lunch</w:t>
                        </w:r>
                      </w:p>
                    </w:tc>
                    <w:tc>
                      <w:tcPr>
                        <w:tcW w:w="5238" w:type="dxa"/>
                      </w:tcPr>
                      <w:p w:rsidR="00F570A3" w:rsidRPr="00A35001" w:rsidRDefault="00F570A3" w:rsidP="00F570A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ka-GE"/>
                          </w:rPr>
                        </w:pPr>
                      </w:p>
                      <w:p w:rsidR="00DE2C13" w:rsidRPr="00D709A6" w:rsidRDefault="00DE2C13" w:rsidP="00F570A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F570A3" w:rsidRPr="00D709A6" w:rsidRDefault="00F570A3" w:rsidP="00F570A3">
                        <w:pPr>
                          <w:contextualSpacing/>
                          <w:jc w:val="both"/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</w:pPr>
                        <w:r w:rsidRPr="00D709A6">
                          <w:rPr>
                            <w:rFonts w:ascii="Sylfaen" w:hAnsi="Sylfaen" w:cs="Arial"/>
                            <w:sz w:val="22"/>
                            <w:szCs w:val="22"/>
                            <w:lang w:val="en-US"/>
                          </w:rPr>
                          <w:t>30 min</w:t>
                        </w:r>
                      </w:p>
                    </w:tc>
                  </w:tr>
                </w:tbl>
                <w:p w:rsidR="002E4C97" w:rsidRDefault="002E4C97" w:rsidP="002E4C97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E4C97" w:rsidRDefault="002E4C97" w:rsidP="002E4C97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E4C97" w:rsidRPr="00524A4F" w:rsidRDefault="002E4C97" w:rsidP="002E4C97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:rsidR="004777F4" w:rsidRPr="00C63753" w:rsidRDefault="004777F4" w:rsidP="009D6210">
            <w:pPr>
              <w:spacing w:before="240"/>
              <w:ind w:right="85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</w:p>
        </w:tc>
      </w:tr>
      <w:tr w:rsidR="00027C78" w:rsidRPr="00C63753" w:rsidTr="00B84B0F">
        <w:tc>
          <w:tcPr>
            <w:tcW w:w="10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</w:tcMar>
          </w:tcPr>
          <w:p w:rsidR="00A1170C" w:rsidRDefault="00A1170C" w:rsidP="00B84B0F">
            <w:pPr>
              <w:pStyle w:val="formbodytext"/>
              <w:keepNext/>
              <w:keepLines/>
              <w:ind w:right="85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</w:p>
          <w:p w:rsidR="00A1170C" w:rsidRDefault="00A1170C" w:rsidP="00B84B0F">
            <w:pPr>
              <w:pStyle w:val="formbodytext"/>
              <w:keepNext/>
              <w:keepLines/>
              <w:ind w:right="85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</w:p>
          <w:p w:rsidR="00027C78" w:rsidRPr="00C63753" w:rsidRDefault="00B84B0F" w:rsidP="00A1170C">
            <w:pPr>
              <w:pStyle w:val="formbodytext"/>
              <w:keepNext/>
              <w:keepLines/>
              <w:ind w:right="85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Event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details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 /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details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 de la réunion</w:t>
            </w:r>
          </w:p>
        </w:tc>
      </w:tr>
      <w:tr w:rsidR="000466D0" w:rsidRPr="00C63753" w:rsidTr="00820027">
        <w:trPr>
          <w:trHeight w:val="397"/>
        </w:trPr>
        <w:tc>
          <w:tcPr>
            <w:tcW w:w="10363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032C48" w:rsidRPr="00FA47C1" w:rsidRDefault="000466D0" w:rsidP="00FA47C1">
            <w:pPr>
              <w:ind w:right="83"/>
              <w:rPr>
                <w:rFonts w:ascii="Sylfaen" w:hAnsi="Sylfaen" w:cstheme="minorBidi"/>
                <w:sz w:val="18"/>
                <w:szCs w:val="18"/>
                <w:lang w:val="ka-GE"/>
              </w:rPr>
            </w:pP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Expected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number</w:t>
            </w:r>
            <w:proofErr w:type="spellEnd"/>
            <w:r w:rsidR="00D57CBA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 of participants/Nombre 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de participants</w:t>
            </w:r>
            <w:r w:rsidR="00D57CBA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 attendus 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: </w:t>
            </w:r>
            <w:r w:rsidR="00FA47C1" w:rsidRPr="00E74EF4">
              <w:rPr>
                <w:rFonts w:ascii="Sylfaen" w:hAnsi="Sylfaen" w:cstheme="minorBidi"/>
                <w:b/>
                <w:sz w:val="22"/>
                <w:szCs w:val="22"/>
                <w:shd w:val="clear" w:color="auto" w:fill="BFBFBF" w:themeFill="background1" w:themeFillShade="BF"/>
                <w:lang w:val="ka-GE"/>
              </w:rPr>
              <w:t>100</w:t>
            </w:r>
          </w:p>
        </w:tc>
      </w:tr>
      <w:tr w:rsidR="00514500" w:rsidRPr="00C63753" w:rsidTr="00524A4F">
        <w:trPr>
          <w:trHeight w:hRule="exact" w:val="1361"/>
        </w:trPr>
        <w:tc>
          <w:tcPr>
            <w:tcW w:w="10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514500" w:rsidRPr="00FA47C1" w:rsidRDefault="00D57CBA" w:rsidP="001071A4">
            <w:pPr>
              <w:spacing w:before="80"/>
              <w:ind w:right="85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B84B0F">
              <w:rPr>
                <w:rFonts w:asciiTheme="minorBidi" w:hAnsiTheme="minorBidi" w:cstheme="minorBidi"/>
                <w:sz w:val="18"/>
                <w:szCs w:val="18"/>
                <w:lang w:val="en-US"/>
              </w:rPr>
              <w:t>Exact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title of the meeting/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Titre</w:t>
            </w:r>
            <w:proofErr w:type="spellEnd"/>
            <w:r w:rsidR="00514500" w:rsidRPr="00C63753">
              <w:rPr>
                <w:rFonts w:ascii="Arial" w:hAnsi="Arial" w:cs="Arial"/>
                <w:sz w:val="18"/>
                <w:szCs w:val="18"/>
                <w:lang w:val="en-US"/>
              </w:rPr>
              <w:t xml:space="preserve"> exact de la </w:t>
            </w:r>
            <w:proofErr w:type="spellStart"/>
            <w:r w:rsidR="00514500" w:rsidRPr="00C63753">
              <w:rPr>
                <w:rFonts w:ascii="Arial" w:hAnsi="Arial" w:cs="Arial"/>
                <w:sz w:val="18"/>
                <w:szCs w:val="18"/>
                <w:lang w:val="en-US"/>
              </w:rPr>
              <w:t>réunion</w:t>
            </w:r>
            <w:proofErr w:type="spellEnd"/>
            <w:r w:rsidR="00514500" w:rsidRPr="00C6375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FA47C1" w:rsidRPr="00E74EF4">
              <w:rPr>
                <w:rFonts w:ascii="Sylfaen" w:hAnsi="Sylfaen" w:cs="Arial"/>
                <w:b/>
                <w:shd w:val="clear" w:color="auto" w:fill="BFBFBF" w:themeFill="background1" w:themeFillShade="BF"/>
                <w:lang w:val="en-US"/>
              </w:rPr>
              <w:t xml:space="preserve">Georgia as a </w:t>
            </w:r>
            <w:r w:rsidR="001071A4" w:rsidRPr="00E74EF4">
              <w:rPr>
                <w:rFonts w:ascii="Sylfaen" w:hAnsi="Sylfaen" w:cs="Arial"/>
                <w:b/>
                <w:shd w:val="clear" w:color="auto" w:fill="BFBFBF" w:themeFill="background1" w:themeFillShade="BF"/>
                <w:lang w:val="en-US"/>
              </w:rPr>
              <w:t>M</w:t>
            </w:r>
            <w:r w:rsidR="00FA47C1" w:rsidRPr="00E74EF4">
              <w:rPr>
                <w:rFonts w:ascii="Sylfaen" w:hAnsi="Sylfaen" w:cs="Arial"/>
                <w:b/>
                <w:shd w:val="clear" w:color="auto" w:fill="BFBFBF" w:themeFill="background1" w:themeFillShade="BF"/>
                <w:lang w:val="en-US"/>
              </w:rPr>
              <w:t xml:space="preserve">odel Country </w:t>
            </w:r>
            <w:r w:rsidR="001071A4" w:rsidRPr="00E74EF4">
              <w:rPr>
                <w:rFonts w:ascii="Sylfaen" w:hAnsi="Sylfaen" w:cs="Arial"/>
                <w:b/>
                <w:shd w:val="clear" w:color="auto" w:fill="BFBFBF" w:themeFill="background1" w:themeFillShade="BF"/>
                <w:lang w:val="en-US"/>
              </w:rPr>
              <w:t xml:space="preserve">for </w:t>
            </w:r>
            <w:r w:rsidR="00FA47C1" w:rsidRPr="00E74EF4">
              <w:rPr>
                <w:rFonts w:ascii="Sylfaen" w:hAnsi="Sylfaen" w:cs="Arial"/>
                <w:b/>
                <w:shd w:val="clear" w:color="auto" w:fill="BFBFBF" w:themeFill="background1" w:themeFillShade="BF"/>
                <w:lang w:val="en-US"/>
              </w:rPr>
              <w:t xml:space="preserve">Universal Access </w:t>
            </w:r>
            <w:r w:rsidR="001071A4" w:rsidRPr="00E74EF4">
              <w:rPr>
                <w:rFonts w:ascii="Sylfaen" w:hAnsi="Sylfaen" w:cs="Arial"/>
                <w:b/>
                <w:shd w:val="clear" w:color="auto" w:fill="BFBFBF" w:themeFill="background1" w:themeFillShade="BF"/>
                <w:lang w:val="en-US"/>
              </w:rPr>
              <w:t xml:space="preserve">to the </w:t>
            </w:r>
            <w:r w:rsidR="00FA47C1" w:rsidRPr="00E74EF4">
              <w:rPr>
                <w:rFonts w:ascii="Sylfaen" w:hAnsi="Sylfaen" w:cs="Arial"/>
                <w:b/>
                <w:shd w:val="clear" w:color="auto" w:fill="BFBFBF" w:themeFill="background1" w:themeFillShade="BF"/>
                <w:lang w:val="en-US"/>
              </w:rPr>
              <w:t>Hepatitis C Screening and Treatment</w:t>
            </w:r>
            <w:r w:rsidR="00FA47C1">
              <w:rPr>
                <w:rFonts w:ascii="Sylfaen" w:hAnsi="Sylfaen" w:cs="Arial"/>
                <w:sz w:val="18"/>
                <w:szCs w:val="18"/>
                <w:shd w:val="clear" w:color="auto" w:fill="BFBFBF" w:themeFill="background1" w:themeFillShade="BF"/>
                <w:lang w:val="en-US"/>
              </w:rPr>
              <w:t xml:space="preserve">  </w:t>
            </w:r>
          </w:p>
        </w:tc>
      </w:tr>
    </w:tbl>
    <w:p w:rsidR="00307017" w:rsidRPr="00C63753" w:rsidRDefault="00307017">
      <w:pPr>
        <w:rPr>
          <w:sz w:val="16"/>
          <w:szCs w:val="16"/>
        </w:rPr>
      </w:pPr>
    </w:p>
    <w:tbl>
      <w:tblPr>
        <w:tblStyle w:val="TableGrid"/>
        <w:tblW w:w="1036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9"/>
        <w:gridCol w:w="1737"/>
        <w:gridCol w:w="1687"/>
        <w:gridCol w:w="1786"/>
        <w:gridCol w:w="1737"/>
        <w:gridCol w:w="1737"/>
      </w:tblGrid>
      <w:tr w:rsidR="00D9401E" w:rsidRPr="00C63753" w:rsidTr="00307017"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</w:tcMar>
          </w:tcPr>
          <w:p w:rsidR="00D9401E" w:rsidRPr="00C63753" w:rsidRDefault="00307017" w:rsidP="00307017">
            <w:pPr>
              <w:ind w:right="85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FR"/>
              </w:rPr>
            </w:pPr>
            <w:r w:rsidRPr="00C63753">
              <w:br w:type="page"/>
            </w:r>
            <w:proofErr w:type="spellStart"/>
            <w:r w:rsidR="00D9401E"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FR"/>
              </w:rPr>
              <w:t>Interpretation</w:t>
            </w:r>
            <w:proofErr w:type="spellEnd"/>
            <w:r w:rsidR="00D9401E"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FR"/>
              </w:rPr>
              <w:t>/Interprétation</w:t>
            </w:r>
          </w:p>
        </w:tc>
      </w:tr>
      <w:tr w:rsidR="00D9401E" w:rsidRPr="00C63753" w:rsidTr="00497079">
        <w:tc>
          <w:tcPr>
            <w:tcW w:w="10363" w:type="dxa"/>
            <w:gridSpan w:val="6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</w:tcMar>
          </w:tcPr>
          <w:p w:rsidR="00D9401E" w:rsidRPr="00C63753" w:rsidRDefault="00D9401E" w:rsidP="00EF197B">
            <w:pPr>
              <w:pStyle w:val="formbodytex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Interpretation may be provided in the official languages and the estimated costs are as follows: 2 languages</w:t>
            </w:r>
            <w:r w:rsidR="00F331DF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2</w:t>
            </w:r>
            <w:r w:rsidR="00EF197B">
              <w:rPr>
                <w:rFonts w:asciiTheme="minorBidi" w:hAnsiTheme="minorBidi" w:cstheme="minorBidi"/>
                <w:sz w:val="18"/>
                <w:szCs w:val="18"/>
                <w:lang w:val="en-US"/>
              </w:rPr>
              <w:t>561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CHF; 3</w:t>
            </w:r>
            <w:r w:rsidR="00F331DF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 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languages</w:t>
            </w:r>
            <w:r w:rsidR="00F331DF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</w:t>
            </w:r>
            <w:r w:rsidR="00EF197B">
              <w:rPr>
                <w:rFonts w:asciiTheme="minorBidi" w:hAnsiTheme="minorBidi" w:cstheme="minorBidi"/>
                <w:sz w:val="18"/>
                <w:szCs w:val="18"/>
                <w:lang w:val="en-US"/>
              </w:rPr>
              <w:t>5123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CHF; 6 languages</w:t>
            </w:r>
            <w:r w:rsidR="00F331DF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11</w:t>
            </w:r>
            <w:r w:rsidR="00EF197B">
              <w:rPr>
                <w:rFonts w:asciiTheme="minorBidi" w:hAnsiTheme="minorBidi" w:cstheme="minorBidi"/>
                <w:sz w:val="18"/>
                <w:szCs w:val="18"/>
                <w:lang w:val="en-US"/>
              </w:rPr>
              <w:t>953</w:t>
            </w:r>
            <w:r w:rsidR="00820027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CHF.</w:t>
            </w:r>
          </w:p>
          <w:p w:rsidR="00FD42B0" w:rsidRDefault="00D9401E" w:rsidP="00D83AEA">
            <w:pPr>
              <w:pStyle w:val="formbodytext"/>
              <w:spacing w:after="60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</w:rPr>
              <w:t>L’interprétation peut être assurée dans les langues officielles aux coûts estimés suivants : 2 langues-</w:t>
            </w:r>
            <w:r w:rsidR="00D93F98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2</w:t>
            </w:r>
            <w:r w:rsidR="00D93F9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561</w:t>
            </w:r>
            <w:r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 CHF; </w:t>
            </w:r>
          </w:p>
          <w:p w:rsidR="00D9401E" w:rsidRPr="00C63753" w:rsidRDefault="00FD42B0" w:rsidP="00D83AEA">
            <w:pPr>
              <w:pStyle w:val="formbodytext"/>
              <w:spacing w:after="6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3 langues : </w:t>
            </w:r>
            <w:r w:rsidR="00D93F9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5123</w:t>
            </w:r>
            <w:r w:rsidR="00D93F98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CHF; 6 langues : </w:t>
            </w:r>
            <w:r w:rsidR="00D93F98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11</w:t>
            </w:r>
            <w:r w:rsidR="00D93F9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953</w:t>
            </w:r>
            <w:r w:rsidR="00D9401E"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 CHF.</w:t>
            </w:r>
          </w:p>
        </w:tc>
      </w:tr>
      <w:tr w:rsidR="00D9401E" w:rsidRPr="00C63753" w:rsidTr="00820027">
        <w:trPr>
          <w:trHeight w:val="283"/>
        </w:trPr>
        <w:tc>
          <w:tcPr>
            <w:tcW w:w="10363" w:type="dxa"/>
            <w:gridSpan w:val="6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D9401E" w:rsidRPr="00C63753" w:rsidRDefault="00D9401E" w:rsidP="001071A4">
            <w:pPr>
              <w:spacing w:before="80"/>
              <w:ind w:right="85"/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</w:pPr>
            <w:r w:rsidRPr="00B84B0F">
              <w:rPr>
                <w:rFonts w:asciiTheme="minorBidi" w:hAnsiTheme="minorBidi" w:cstheme="minorBidi"/>
                <w:sz w:val="18"/>
                <w:szCs w:val="18"/>
                <w:lang w:val="en-US"/>
              </w:rPr>
              <w:t>Are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>interpretation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 xml:space="preserve"> services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>requested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>? / L’interprétation est-elle requise ?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ab/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Yes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/Oui</w:t>
            </w:r>
            <w:r w:rsidR="00B84B0F" w:rsidRPr="00B84B0F"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  <w:t xml:space="preserve"> 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CH"/>
              </w:rPr>
              <w:instrText xml:space="preserve"> FORMCHECKBOX </w:instrText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r w:rsidRPr="00C63753">
              <w:rPr>
                <w:rFonts w:asciiTheme="minorBidi" w:hAnsiTheme="minorBidi" w:cstheme="minorBidi"/>
                <w:sz w:val="18"/>
                <w:szCs w:val="18"/>
              </w:rPr>
              <w:tab/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No/Non</w:t>
            </w:r>
            <w:r w:rsidRPr="00C63753"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  <w:t xml:space="preserve">  </w:t>
            </w:r>
            <w:r w:rsidR="001071A4">
              <w:rPr>
                <w:rFonts w:asciiTheme="minorBidi" w:hAnsiTheme="minorBidi" w:cstheme="minorBidi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2"/>
            <w:r w:rsidR="001071A4">
              <w:rPr>
                <w:rFonts w:asciiTheme="minorBidi" w:hAnsiTheme="minorBidi" w:cstheme="minorBidi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B02B4B">
              <w:rPr>
                <w:rFonts w:asciiTheme="minorBidi" w:hAnsiTheme="minorBidi" w:cstheme="minorBidi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B02B4B">
              <w:rPr>
                <w:rFonts w:asciiTheme="minorBidi" w:hAnsiTheme="minorBidi" w:cstheme="minorBidi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1071A4">
              <w:rPr>
                <w:rFonts w:asciiTheme="minorBidi" w:hAnsiTheme="minorBidi" w:cstheme="minorBidi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5"/>
          </w:p>
        </w:tc>
      </w:tr>
      <w:tr w:rsidR="00D9401E" w:rsidRPr="00C63753" w:rsidTr="00497079">
        <w:tc>
          <w:tcPr>
            <w:tcW w:w="10363" w:type="dxa"/>
            <w:gridSpan w:val="6"/>
            <w:tcBorders>
              <w:bottom w:val="nil"/>
            </w:tcBorders>
            <w:tcMar>
              <w:top w:w="28" w:type="dxa"/>
              <w:left w:w="28" w:type="dxa"/>
              <w:bottom w:w="28" w:type="dxa"/>
            </w:tcMar>
          </w:tcPr>
          <w:p w:rsidR="00D9401E" w:rsidRPr="00C63753" w:rsidRDefault="00D9401E" w:rsidP="00B84B0F">
            <w:pPr>
              <w:spacing w:before="80"/>
              <w:ind w:right="85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</w:rPr>
              <w:t>(If yes, which langua</w:t>
            </w:r>
            <w:r w:rsidR="00820027">
              <w:rPr>
                <w:rFonts w:asciiTheme="minorBidi" w:hAnsiTheme="minorBidi" w:cstheme="minorBidi"/>
                <w:sz w:val="18"/>
                <w:szCs w:val="18"/>
              </w:rPr>
              <w:t xml:space="preserve">ges)/(Si </w:t>
            </w:r>
            <w:proofErr w:type="spellStart"/>
            <w:r w:rsidR="00820027">
              <w:rPr>
                <w:rFonts w:asciiTheme="minorBidi" w:hAnsiTheme="minorBidi" w:cstheme="minorBidi"/>
                <w:sz w:val="18"/>
                <w:szCs w:val="18"/>
              </w:rPr>
              <w:t>oui</w:t>
            </w:r>
            <w:proofErr w:type="spellEnd"/>
            <w:r w:rsidR="00820027"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proofErr w:type="spellStart"/>
            <w:r w:rsidR="00820027">
              <w:rPr>
                <w:rFonts w:asciiTheme="minorBidi" w:hAnsiTheme="minorBidi" w:cstheme="minorBidi"/>
                <w:sz w:val="18"/>
                <w:szCs w:val="18"/>
              </w:rPr>
              <w:t>en</w:t>
            </w:r>
            <w:proofErr w:type="spellEnd"/>
            <w:r w:rsidR="00820027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spellStart"/>
            <w:r w:rsidR="00820027">
              <w:rPr>
                <w:rFonts w:asciiTheme="minorBidi" w:hAnsiTheme="minorBidi" w:cstheme="minorBidi"/>
                <w:sz w:val="18"/>
                <w:szCs w:val="18"/>
              </w:rPr>
              <w:t>quelle</w:t>
            </w:r>
            <w:proofErr w:type="spellEnd"/>
            <w:r w:rsidR="00820027">
              <w:rPr>
                <w:rFonts w:asciiTheme="minorBidi" w:hAnsiTheme="minorBidi" w:cstheme="minorBidi"/>
                <w:sz w:val="18"/>
                <w:szCs w:val="18"/>
              </w:rPr>
              <w:t xml:space="preserve"> langue)</w:t>
            </w:r>
            <w:r w:rsidR="00820027"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820027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20027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instrText xml:space="preserve"> FORMTEXT </w:instrText>
            </w:r>
            <w:r w:rsidR="00820027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</w:r>
            <w:r w:rsidR="00820027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separate"/>
            </w:r>
            <w:r w:rsidR="00820027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820027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820027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820027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820027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820027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end"/>
            </w:r>
          </w:p>
        </w:tc>
      </w:tr>
      <w:tr w:rsidR="004D71A1" w:rsidRPr="00C63753" w:rsidTr="00497079">
        <w:tc>
          <w:tcPr>
            <w:tcW w:w="1679" w:type="dxa"/>
            <w:tcBorders>
              <w:top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</w:rPr>
              <w:t>English/Anglais</w:t>
            </w:r>
            <w:r w:rsidR="00B077A7"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French/Français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6"/>
          </w:p>
        </w:tc>
        <w:tc>
          <w:tcPr>
            <w:tcW w:w="1687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z w:val="18"/>
                <w:szCs w:val="18"/>
              </w:rPr>
            </w:pP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</w:rPr>
              <w:t>Russian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/Russe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7"/>
          </w:p>
        </w:tc>
        <w:tc>
          <w:tcPr>
            <w:tcW w:w="1786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pacing w:val="-6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pacing w:val="-6"/>
                <w:sz w:val="18"/>
                <w:szCs w:val="18"/>
                <w:lang w:val="it-IT"/>
              </w:rPr>
              <w:t xml:space="preserve">Spanish/Espagnol </w:t>
            </w:r>
            <w:r w:rsidRPr="00D15736">
              <w:rPr>
                <w:rFonts w:asciiTheme="minorBidi" w:hAnsiTheme="minorBidi" w:cstheme="minorBidi"/>
                <w:spacing w:val="-6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736">
              <w:rPr>
                <w:rFonts w:asciiTheme="minorBidi" w:hAnsiTheme="minorBidi" w:cstheme="minorBidi"/>
                <w:spacing w:val="-6"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B02B4B">
              <w:rPr>
                <w:rFonts w:asciiTheme="minorBidi" w:hAnsiTheme="minorBidi" w:cstheme="minorBidi"/>
                <w:spacing w:val="-6"/>
                <w:sz w:val="18"/>
                <w:szCs w:val="18"/>
                <w:shd w:val="clear" w:color="auto" w:fill="BFBFBF" w:themeFill="background1" w:themeFillShade="BF"/>
              </w:rPr>
            </w:r>
            <w:r w:rsidR="00B02B4B">
              <w:rPr>
                <w:rFonts w:asciiTheme="minorBidi" w:hAnsiTheme="minorBidi" w:cstheme="minorBidi"/>
                <w:spacing w:val="-6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pacing w:val="-6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it-IT"/>
              </w:rPr>
              <w:t xml:space="preserve">Chinese/Chinois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it-IT"/>
              </w:rPr>
              <w:instrText xml:space="preserve"> FORMCHECKBOX </w:instrText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8"/>
          </w:p>
        </w:tc>
        <w:tc>
          <w:tcPr>
            <w:tcW w:w="1737" w:type="dxa"/>
            <w:tcBorders>
              <w:top w:val="nil"/>
              <w:lef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it-IT"/>
              </w:rPr>
              <w:t xml:space="preserve">Arabic/Arabe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it-IT"/>
              </w:rPr>
              <w:instrText xml:space="preserve"> FORMCHECKBOX </w:instrText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B02B4B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9"/>
          </w:p>
        </w:tc>
      </w:tr>
      <w:tr w:rsidR="00C34B75" w:rsidRPr="00C63753" w:rsidTr="00820027">
        <w:trPr>
          <w:trHeight w:val="283"/>
        </w:trPr>
        <w:tc>
          <w:tcPr>
            <w:tcW w:w="10363" w:type="dxa"/>
            <w:gridSpan w:val="6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34B75" w:rsidRPr="00C63753" w:rsidRDefault="00D10E3A" w:rsidP="00B84B0F">
            <w:pPr>
              <w:spacing w:before="80"/>
              <w:ind w:right="85"/>
              <w:rPr>
                <w:rFonts w:asciiTheme="minorBidi" w:hAnsiTheme="minorBidi" w:cstheme="minorBidi"/>
                <w:sz w:val="18"/>
                <w:szCs w:val="18"/>
                <w:lang w:val="it-IT"/>
              </w:rPr>
            </w:pPr>
            <w:r w:rsidRPr="00C63753">
              <w:rPr>
                <w:rFonts w:ascii="Arial" w:hAnsi="Arial" w:cs="Arial"/>
                <w:sz w:val="18"/>
                <w:szCs w:val="18"/>
                <w:lang w:val="en-US"/>
              </w:rPr>
              <w:t>Other language/</w:t>
            </w:r>
            <w:proofErr w:type="spellStart"/>
            <w:r w:rsidRPr="00C63753">
              <w:rPr>
                <w:rFonts w:ascii="Arial" w:hAnsi="Arial" w:cs="Arial"/>
                <w:sz w:val="18"/>
                <w:szCs w:val="18"/>
                <w:lang w:val="en-US"/>
              </w:rPr>
              <w:t>autre</w:t>
            </w:r>
            <w:proofErr w:type="spellEnd"/>
            <w:r w:rsidRPr="00C63753">
              <w:rPr>
                <w:rFonts w:ascii="Arial" w:hAnsi="Arial" w:cs="Arial"/>
                <w:sz w:val="18"/>
                <w:szCs w:val="18"/>
                <w:lang w:val="en-US"/>
              </w:rPr>
              <w:t xml:space="preserve"> langue: </w:t>
            </w:r>
            <w:r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C34B75" w:rsidRPr="00C63753" w:rsidTr="00497079"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34B75" w:rsidRPr="00C63753" w:rsidRDefault="00575AEF" w:rsidP="00AC13E6">
            <w:pPr>
              <w:spacing w:before="360"/>
              <w:ind w:right="83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Room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Layout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/Aménagement des salles</w:t>
            </w:r>
          </w:p>
        </w:tc>
      </w:tr>
      <w:tr w:rsidR="00C34B75" w:rsidRPr="00C63753" w:rsidTr="00497079"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575AEF" w:rsidRPr="00C63753" w:rsidRDefault="00575AEF" w:rsidP="00575AEF">
            <w:pPr>
              <w:pStyle w:val="formbodytext"/>
              <w:rPr>
                <w:rStyle w:val="Hyperlink"/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Due to type of furniture and technical equipment in the room, the layout of the rooms cannot be changed. For information regarding the location and layout of rooms at the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Palais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des Nations, please see:</w:t>
            </w:r>
            <w:r w:rsidR="00AE7F11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br/>
            </w:r>
            <w:hyperlink r:id="rId8" w:history="1">
              <w:r w:rsidRPr="00C63753">
                <w:rPr>
                  <w:rStyle w:val="Hyperlink"/>
                  <w:rFonts w:asciiTheme="minorBidi" w:hAnsiTheme="minorBidi" w:cstheme="minorBidi"/>
                  <w:sz w:val="18"/>
                  <w:szCs w:val="18"/>
                  <w:lang w:val="en-US"/>
                </w:rPr>
                <w:t>http://www.unog.ch/80256EE60057CB67/(httpPages)/BAE3AF717207A5AF80256EF80049C552?OpenDocument</w:t>
              </w:r>
            </w:hyperlink>
          </w:p>
          <w:p w:rsidR="00C34B75" w:rsidRPr="00C63753" w:rsidRDefault="00575AEF" w:rsidP="00AC13E6">
            <w:pPr>
              <w:pStyle w:val="formbodytext"/>
              <w:spacing w:after="0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  <w:r w:rsidRPr="00C63753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Le type de mobilier et les installations techniques dans les salles ne permettent pas de modifier l’aménagement de celles-ci. Pour tout renseignement sur l’emplacement ou la disposition des salles au Palais des Nations voir le lien : </w:t>
            </w:r>
            <w:hyperlink r:id="rId9" w:history="1">
              <w:r w:rsidRPr="00C63753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http://www.unog.ch/80256EE60057CB67/(httpPages)/BAE3AF717207A5AF80256EF80049C552?OpenDocument</w:t>
              </w:r>
            </w:hyperlink>
          </w:p>
        </w:tc>
      </w:tr>
      <w:tr w:rsidR="00FC706A" w:rsidRPr="00C63753" w:rsidTr="005D15CC">
        <w:tc>
          <w:tcPr>
            <w:tcW w:w="10363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FC706A" w:rsidRPr="00C63753" w:rsidRDefault="00B84B0F" w:rsidP="00AC13E6">
            <w:pPr>
              <w:spacing w:before="360"/>
              <w:ind w:right="83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*</w:t>
            </w:r>
            <w:r w:rsidR="00046B34"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Badges/ Badges d’accès</w:t>
            </w:r>
          </w:p>
        </w:tc>
      </w:tr>
      <w:tr w:rsidR="00046B34" w:rsidRPr="00C63753" w:rsidTr="00283284"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046B34" w:rsidRPr="00C63753" w:rsidRDefault="00046B34" w:rsidP="00D83AEA">
            <w:pPr>
              <w:pStyle w:val="formbodytext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WHA side events are for participants of the WHA and, as such,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panellists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and participants should be drawn from those partic</w:t>
            </w:r>
            <w:r w:rsidR="00D15736">
              <w:rPr>
                <w:rFonts w:asciiTheme="minorBidi" w:hAnsiTheme="minorBidi" w:cstheme="minorBidi"/>
                <w:sz w:val="18"/>
                <w:szCs w:val="18"/>
                <w:lang w:val="en-US"/>
              </w:rPr>
              <w:t>ipating in the Health Assembly.</w:t>
            </w:r>
          </w:p>
          <w:p w:rsidR="00674AB2" w:rsidRPr="00C63753" w:rsidRDefault="00674AB2" w:rsidP="009D6210">
            <w:pPr>
              <w:pStyle w:val="formbodytext"/>
              <w:rPr>
                <w:rFonts w:asciiTheme="minorBidi" w:hAnsiTheme="minorBidi" w:cstheme="minorBidi"/>
                <w:iCs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iCs/>
                <w:sz w:val="18"/>
                <w:szCs w:val="18"/>
              </w:rPr>
              <w:t>Les réunions parallèles s</w:t>
            </w:r>
            <w:r w:rsidR="00FB2CF8">
              <w:rPr>
                <w:rFonts w:asciiTheme="minorBidi" w:hAnsiTheme="minorBidi" w:cstheme="minorBidi"/>
                <w:iCs/>
                <w:sz w:val="18"/>
                <w:szCs w:val="18"/>
              </w:rPr>
              <w:t>ont réservées aux participants de</w:t>
            </w:r>
            <w:r w:rsidRPr="00C63753">
              <w:rPr>
                <w:rFonts w:asciiTheme="minorBidi" w:hAnsiTheme="minorBidi" w:cstheme="minorBidi"/>
                <w:iCs/>
                <w:sz w:val="18"/>
                <w:szCs w:val="18"/>
              </w:rPr>
              <w:t xml:space="preserve"> l’Assemblée; </w:t>
            </w:r>
            <w:r w:rsidR="00FD531B" w:rsidRPr="00C63753">
              <w:rPr>
                <w:rFonts w:asciiTheme="minorBidi" w:hAnsiTheme="minorBidi" w:cstheme="minorBidi"/>
                <w:iCs/>
                <w:sz w:val="18"/>
                <w:szCs w:val="18"/>
              </w:rPr>
              <w:t>L</w:t>
            </w:r>
            <w:r w:rsidR="00FB2CF8">
              <w:rPr>
                <w:rFonts w:asciiTheme="minorBidi" w:hAnsiTheme="minorBidi" w:cstheme="minorBidi"/>
                <w:iCs/>
                <w:sz w:val="18"/>
                <w:szCs w:val="18"/>
              </w:rPr>
              <w:t>es orateurs de</w:t>
            </w:r>
            <w:r w:rsidRPr="00C63753">
              <w:rPr>
                <w:rFonts w:asciiTheme="minorBidi" w:hAnsiTheme="minorBidi" w:cstheme="minorBidi"/>
                <w:iCs/>
                <w:sz w:val="18"/>
                <w:szCs w:val="18"/>
              </w:rPr>
              <w:t xml:space="preserve"> ces réunions doivent donc être choisis parmi ceux-ci. </w:t>
            </w:r>
          </w:p>
          <w:p w:rsidR="009D6210" w:rsidRPr="00C63753" w:rsidRDefault="009D6210" w:rsidP="009D6210">
            <w:pPr>
              <w:pStyle w:val="formbodytext"/>
              <w:rPr>
                <w:rFonts w:asciiTheme="minorBidi" w:hAnsiTheme="minorBidi" w:cstheme="minorBidi"/>
                <w:i/>
                <w:iCs/>
                <w:sz w:val="18"/>
                <w:szCs w:val="18"/>
                <w:lang w:val="fr-CH"/>
              </w:rPr>
            </w:pPr>
          </w:p>
        </w:tc>
      </w:tr>
      <w:tr w:rsidR="00FC706A" w:rsidRPr="00945808" w:rsidTr="005D15CC"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85" w:type="dxa"/>
              <w:left w:w="28" w:type="dxa"/>
              <w:bottom w:w="85" w:type="dxa"/>
              <w:right w:w="0" w:type="dxa"/>
            </w:tcMar>
          </w:tcPr>
          <w:p w:rsidR="00FC706A" w:rsidRPr="002A0B3E" w:rsidRDefault="002444B1" w:rsidP="00A5169E">
            <w:pPr>
              <w:pStyle w:val="formbodytext"/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Please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complete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the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form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and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send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it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to </w:t>
            </w:r>
            <w:r w:rsidR="002A0B3E"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/ </w:t>
            </w:r>
            <w:proofErr w:type="spellStart"/>
            <w:r w:rsidR="002A0B3E"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M</w:t>
            </w:r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erci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remplir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le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formulaire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et de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l’envoyer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à </w:t>
            </w:r>
            <w:hyperlink r:id="rId10" w:history="1">
              <w:r w:rsidR="00F53156" w:rsidRPr="00CD7DFF">
                <w:rPr>
                  <w:rStyle w:val="Hyperlink"/>
                  <w:rFonts w:asciiTheme="minorBidi" w:hAnsiTheme="minorBidi" w:cstheme="minorBidi"/>
                  <w:b/>
                  <w:bCs/>
                  <w:sz w:val="18"/>
                  <w:szCs w:val="18"/>
                  <w:lang w:val="es-ES"/>
                </w:rPr>
                <w:t>hqgoverningbodies@who.int</w:t>
              </w:r>
            </w:hyperlink>
          </w:p>
        </w:tc>
      </w:tr>
    </w:tbl>
    <w:p w:rsidR="00B11357" w:rsidRPr="00A5155B" w:rsidRDefault="00B11357" w:rsidP="00820027">
      <w:pPr>
        <w:ind w:right="83"/>
        <w:rPr>
          <w:rFonts w:asciiTheme="minorBidi" w:hAnsiTheme="minorBidi" w:cstheme="minorBidi"/>
          <w:sz w:val="18"/>
          <w:szCs w:val="18"/>
          <w:lang w:val="fr-FR"/>
        </w:rPr>
      </w:pPr>
    </w:p>
    <w:sectPr w:rsidR="00B11357" w:rsidRPr="00A5155B" w:rsidSect="007B749E">
      <w:headerReference w:type="default" r:id="rId11"/>
      <w:headerReference w:type="first" r:id="rId12"/>
      <w:pgSz w:w="11906" w:h="16838" w:code="9"/>
      <w:pgMar w:top="1134" w:right="851" w:bottom="851" w:left="851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B4B" w:rsidRDefault="00B02B4B" w:rsidP="00040831">
      <w:r>
        <w:separator/>
      </w:r>
    </w:p>
  </w:endnote>
  <w:endnote w:type="continuationSeparator" w:id="0">
    <w:p w:rsidR="00B02B4B" w:rsidRDefault="00B02B4B" w:rsidP="0004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B4B" w:rsidRDefault="00B02B4B" w:rsidP="00040831">
      <w:r>
        <w:separator/>
      </w:r>
    </w:p>
  </w:footnote>
  <w:footnote w:type="continuationSeparator" w:id="0">
    <w:p w:rsidR="00B02B4B" w:rsidRDefault="00B02B4B" w:rsidP="00040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43" w:rsidRDefault="000E4643" w:rsidP="00306BFF">
    <w:pPr>
      <w:pStyle w:val="Header"/>
      <w:ind w:left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43" w:rsidRDefault="000E4643">
    <w:pPr>
      <w:pStyle w:val="Header"/>
    </w:pPr>
    <w:r>
      <w:rPr>
        <w:noProof/>
        <w:lang w:val="en-US" w:eastAsia="en-US"/>
      </w:rPr>
      <w:drawing>
        <wp:inline distT="0" distB="0" distL="0" distR="0" wp14:anchorId="5232650E" wp14:editId="725B9BFB">
          <wp:extent cx="1510665" cy="461010"/>
          <wp:effectExtent l="0" t="0" r="0" b="0"/>
          <wp:docPr id="1" name="Picture 1" descr="WHO-EN-B-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O-EN-B-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AE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2019140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90B5076"/>
    <w:multiLevelType w:val="hybridMultilevel"/>
    <w:tmpl w:val="66B6E7CC"/>
    <w:lvl w:ilvl="0" w:tplc="8D78C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10F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B29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CE4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B80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85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EE0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D4D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EEB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F748D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7193C59"/>
    <w:multiLevelType w:val="hybridMultilevel"/>
    <w:tmpl w:val="C2A275FC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D30AA"/>
    <w:multiLevelType w:val="hybridMultilevel"/>
    <w:tmpl w:val="00B20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1C2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8E74DA3"/>
    <w:multiLevelType w:val="hybridMultilevel"/>
    <w:tmpl w:val="5A9ED2FE"/>
    <w:lvl w:ilvl="0" w:tplc="04022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40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0C3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FCF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088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24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626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866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9A4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A716A4B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5ACF792D"/>
    <w:multiLevelType w:val="hybridMultilevel"/>
    <w:tmpl w:val="FFB6A31E"/>
    <w:lvl w:ilvl="0" w:tplc="2ADA5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22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6CB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7CA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006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18F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18E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AE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4B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FA030B"/>
    <w:multiLevelType w:val="hybridMultilevel"/>
    <w:tmpl w:val="7DC4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43B3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2400A8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468494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62A1CC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4F4C7B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AE865BE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0"/>
  </w:num>
  <w:num w:numId="5">
    <w:abstractNumId w:val="11"/>
  </w:num>
  <w:num w:numId="6">
    <w:abstractNumId w:val="1"/>
  </w:num>
  <w:num w:numId="7">
    <w:abstractNumId w:val="6"/>
  </w:num>
  <w:num w:numId="8">
    <w:abstractNumId w:val="3"/>
  </w:num>
  <w:num w:numId="9">
    <w:abstractNumId w:val="13"/>
  </w:num>
  <w:num w:numId="10">
    <w:abstractNumId w:val="12"/>
  </w:num>
  <w:num w:numId="11">
    <w:abstractNumId w:val="14"/>
  </w:num>
  <w:num w:numId="12">
    <w:abstractNumId w:val="5"/>
  </w:num>
  <w:num w:numId="13">
    <w:abstractNumId w:val="4"/>
  </w:num>
  <w:num w:numId="14">
    <w:abstractNumId w:val="9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6C"/>
    <w:rsid w:val="00027C78"/>
    <w:rsid w:val="00032C48"/>
    <w:rsid w:val="00033824"/>
    <w:rsid w:val="000407F9"/>
    <w:rsid w:val="00040831"/>
    <w:rsid w:val="000466D0"/>
    <w:rsid w:val="00046AD8"/>
    <w:rsid w:val="00046B34"/>
    <w:rsid w:val="00051597"/>
    <w:rsid w:val="00060842"/>
    <w:rsid w:val="00062083"/>
    <w:rsid w:val="00072576"/>
    <w:rsid w:val="00075595"/>
    <w:rsid w:val="00080D97"/>
    <w:rsid w:val="0008212E"/>
    <w:rsid w:val="00085CCE"/>
    <w:rsid w:val="000937B8"/>
    <w:rsid w:val="000A05E4"/>
    <w:rsid w:val="000B25BA"/>
    <w:rsid w:val="000B3ED5"/>
    <w:rsid w:val="000B5849"/>
    <w:rsid w:val="000C0E1C"/>
    <w:rsid w:val="000C2EBF"/>
    <w:rsid w:val="000C3665"/>
    <w:rsid w:val="000D1302"/>
    <w:rsid w:val="000E43AF"/>
    <w:rsid w:val="000E4643"/>
    <w:rsid w:val="000F6C45"/>
    <w:rsid w:val="00101F7D"/>
    <w:rsid w:val="00105146"/>
    <w:rsid w:val="001071A4"/>
    <w:rsid w:val="00107B7C"/>
    <w:rsid w:val="00131170"/>
    <w:rsid w:val="00132BC7"/>
    <w:rsid w:val="00135178"/>
    <w:rsid w:val="00137F2D"/>
    <w:rsid w:val="0014158A"/>
    <w:rsid w:val="00145796"/>
    <w:rsid w:val="001479FC"/>
    <w:rsid w:val="00170A33"/>
    <w:rsid w:val="00175BAB"/>
    <w:rsid w:val="00184E70"/>
    <w:rsid w:val="00192DF9"/>
    <w:rsid w:val="001974A6"/>
    <w:rsid w:val="001A23F0"/>
    <w:rsid w:val="001A6AC3"/>
    <w:rsid w:val="001C6F13"/>
    <w:rsid w:val="001D32E8"/>
    <w:rsid w:val="001D4CA5"/>
    <w:rsid w:val="001F1DDC"/>
    <w:rsid w:val="001F5390"/>
    <w:rsid w:val="002075E5"/>
    <w:rsid w:val="002170D8"/>
    <w:rsid w:val="00220994"/>
    <w:rsid w:val="00224680"/>
    <w:rsid w:val="002310AC"/>
    <w:rsid w:val="002357E8"/>
    <w:rsid w:val="00240FA7"/>
    <w:rsid w:val="002444B1"/>
    <w:rsid w:val="00250BC8"/>
    <w:rsid w:val="00256E9E"/>
    <w:rsid w:val="00257792"/>
    <w:rsid w:val="002630E7"/>
    <w:rsid w:val="00263C46"/>
    <w:rsid w:val="00264726"/>
    <w:rsid w:val="0028018E"/>
    <w:rsid w:val="00283284"/>
    <w:rsid w:val="00287AFC"/>
    <w:rsid w:val="00294DD2"/>
    <w:rsid w:val="00297115"/>
    <w:rsid w:val="002A0562"/>
    <w:rsid w:val="002A0B3E"/>
    <w:rsid w:val="002A3BC2"/>
    <w:rsid w:val="002B1B1F"/>
    <w:rsid w:val="002B3FB3"/>
    <w:rsid w:val="002B7B36"/>
    <w:rsid w:val="002C0384"/>
    <w:rsid w:val="002C4E7F"/>
    <w:rsid w:val="002C58F2"/>
    <w:rsid w:val="002E0597"/>
    <w:rsid w:val="002E387C"/>
    <w:rsid w:val="002E3AC1"/>
    <w:rsid w:val="002E4C97"/>
    <w:rsid w:val="002E5510"/>
    <w:rsid w:val="002E6A3E"/>
    <w:rsid w:val="002F505B"/>
    <w:rsid w:val="002F734A"/>
    <w:rsid w:val="00303305"/>
    <w:rsid w:val="003049B0"/>
    <w:rsid w:val="00305131"/>
    <w:rsid w:val="0030596E"/>
    <w:rsid w:val="00306BFF"/>
    <w:rsid w:val="00307017"/>
    <w:rsid w:val="003125C8"/>
    <w:rsid w:val="00316FB9"/>
    <w:rsid w:val="003309F6"/>
    <w:rsid w:val="00332D8A"/>
    <w:rsid w:val="00333E8B"/>
    <w:rsid w:val="00340D19"/>
    <w:rsid w:val="00351C94"/>
    <w:rsid w:val="00354B5B"/>
    <w:rsid w:val="0035728F"/>
    <w:rsid w:val="00372E86"/>
    <w:rsid w:val="00376D1C"/>
    <w:rsid w:val="003851EC"/>
    <w:rsid w:val="0039610B"/>
    <w:rsid w:val="00396911"/>
    <w:rsid w:val="003A683A"/>
    <w:rsid w:val="003B2153"/>
    <w:rsid w:val="003B747E"/>
    <w:rsid w:val="003B7CB0"/>
    <w:rsid w:val="003D204A"/>
    <w:rsid w:val="003D6FD5"/>
    <w:rsid w:val="003E4C17"/>
    <w:rsid w:val="003E5127"/>
    <w:rsid w:val="003F6345"/>
    <w:rsid w:val="00411184"/>
    <w:rsid w:val="004166C9"/>
    <w:rsid w:val="0041692C"/>
    <w:rsid w:val="004307DA"/>
    <w:rsid w:val="00433FD7"/>
    <w:rsid w:val="00437741"/>
    <w:rsid w:val="00452BEA"/>
    <w:rsid w:val="004600F8"/>
    <w:rsid w:val="00460AF9"/>
    <w:rsid w:val="00461A75"/>
    <w:rsid w:val="00475A13"/>
    <w:rsid w:val="00475E6B"/>
    <w:rsid w:val="004777F4"/>
    <w:rsid w:val="00497079"/>
    <w:rsid w:val="004A3A95"/>
    <w:rsid w:val="004A6B67"/>
    <w:rsid w:val="004C4DE2"/>
    <w:rsid w:val="004D71A1"/>
    <w:rsid w:val="004E03F4"/>
    <w:rsid w:val="004E3226"/>
    <w:rsid w:val="00500E67"/>
    <w:rsid w:val="00507BE8"/>
    <w:rsid w:val="00512273"/>
    <w:rsid w:val="00514500"/>
    <w:rsid w:val="00522428"/>
    <w:rsid w:val="00524A4F"/>
    <w:rsid w:val="005366C6"/>
    <w:rsid w:val="005413A9"/>
    <w:rsid w:val="00542E0F"/>
    <w:rsid w:val="00552865"/>
    <w:rsid w:val="00555A8A"/>
    <w:rsid w:val="005722DA"/>
    <w:rsid w:val="0057315D"/>
    <w:rsid w:val="005738A3"/>
    <w:rsid w:val="00573E2A"/>
    <w:rsid w:val="0057576B"/>
    <w:rsid w:val="00575AEF"/>
    <w:rsid w:val="005B312B"/>
    <w:rsid w:val="005B7E14"/>
    <w:rsid w:val="005C1C5E"/>
    <w:rsid w:val="005C3328"/>
    <w:rsid w:val="005C502E"/>
    <w:rsid w:val="005C6A48"/>
    <w:rsid w:val="005D15CC"/>
    <w:rsid w:val="005D5AFB"/>
    <w:rsid w:val="005E14FF"/>
    <w:rsid w:val="005F5372"/>
    <w:rsid w:val="005F6B6F"/>
    <w:rsid w:val="005F74FA"/>
    <w:rsid w:val="0061687D"/>
    <w:rsid w:val="00617F03"/>
    <w:rsid w:val="00635C52"/>
    <w:rsid w:val="00643691"/>
    <w:rsid w:val="00651B74"/>
    <w:rsid w:val="00660AD8"/>
    <w:rsid w:val="00661FC8"/>
    <w:rsid w:val="00662933"/>
    <w:rsid w:val="00663071"/>
    <w:rsid w:val="00666B51"/>
    <w:rsid w:val="00671900"/>
    <w:rsid w:val="0067191F"/>
    <w:rsid w:val="00674AB2"/>
    <w:rsid w:val="0067573C"/>
    <w:rsid w:val="006773C8"/>
    <w:rsid w:val="00680379"/>
    <w:rsid w:val="00695FC8"/>
    <w:rsid w:val="006A0200"/>
    <w:rsid w:val="006A0470"/>
    <w:rsid w:val="006A300C"/>
    <w:rsid w:val="006B3FD3"/>
    <w:rsid w:val="006B6EE7"/>
    <w:rsid w:val="006C5C43"/>
    <w:rsid w:val="006D352A"/>
    <w:rsid w:val="006D4C79"/>
    <w:rsid w:val="006F2624"/>
    <w:rsid w:val="006F6A17"/>
    <w:rsid w:val="006F6E08"/>
    <w:rsid w:val="007170F3"/>
    <w:rsid w:val="00722818"/>
    <w:rsid w:val="007249FB"/>
    <w:rsid w:val="0073141D"/>
    <w:rsid w:val="00733330"/>
    <w:rsid w:val="00734F21"/>
    <w:rsid w:val="00735B52"/>
    <w:rsid w:val="007430F6"/>
    <w:rsid w:val="0074355E"/>
    <w:rsid w:val="007475AD"/>
    <w:rsid w:val="007515A4"/>
    <w:rsid w:val="00754D46"/>
    <w:rsid w:val="00763899"/>
    <w:rsid w:val="0076465D"/>
    <w:rsid w:val="007671FE"/>
    <w:rsid w:val="00767A7E"/>
    <w:rsid w:val="007803B2"/>
    <w:rsid w:val="00784EBE"/>
    <w:rsid w:val="007A4BF9"/>
    <w:rsid w:val="007B4D77"/>
    <w:rsid w:val="007B5AC2"/>
    <w:rsid w:val="007B749E"/>
    <w:rsid w:val="007D13CB"/>
    <w:rsid w:val="007D235D"/>
    <w:rsid w:val="007D315E"/>
    <w:rsid w:val="007E25D8"/>
    <w:rsid w:val="007E5E9A"/>
    <w:rsid w:val="00800404"/>
    <w:rsid w:val="00802077"/>
    <w:rsid w:val="00820027"/>
    <w:rsid w:val="00822D09"/>
    <w:rsid w:val="00827256"/>
    <w:rsid w:val="008275E9"/>
    <w:rsid w:val="00830985"/>
    <w:rsid w:val="0083257C"/>
    <w:rsid w:val="00837AE2"/>
    <w:rsid w:val="0084213E"/>
    <w:rsid w:val="00843849"/>
    <w:rsid w:val="008537DA"/>
    <w:rsid w:val="00857976"/>
    <w:rsid w:val="00867B5E"/>
    <w:rsid w:val="00870C62"/>
    <w:rsid w:val="00870C8C"/>
    <w:rsid w:val="00874DA9"/>
    <w:rsid w:val="00885D6D"/>
    <w:rsid w:val="00891236"/>
    <w:rsid w:val="00895DA9"/>
    <w:rsid w:val="00897481"/>
    <w:rsid w:val="008A7500"/>
    <w:rsid w:val="008A7EC6"/>
    <w:rsid w:val="008B013B"/>
    <w:rsid w:val="008B27D0"/>
    <w:rsid w:val="008B6C92"/>
    <w:rsid w:val="008D7977"/>
    <w:rsid w:val="008F05F1"/>
    <w:rsid w:val="00906948"/>
    <w:rsid w:val="00913BB1"/>
    <w:rsid w:val="009141DB"/>
    <w:rsid w:val="00922945"/>
    <w:rsid w:val="00926008"/>
    <w:rsid w:val="00930123"/>
    <w:rsid w:val="0093280B"/>
    <w:rsid w:val="00936CC5"/>
    <w:rsid w:val="00937322"/>
    <w:rsid w:val="00941D66"/>
    <w:rsid w:val="00945808"/>
    <w:rsid w:val="00956FF2"/>
    <w:rsid w:val="009801FC"/>
    <w:rsid w:val="00986228"/>
    <w:rsid w:val="009900DD"/>
    <w:rsid w:val="00996FB4"/>
    <w:rsid w:val="009A7E61"/>
    <w:rsid w:val="009B13E0"/>
    <w:rsid w:val="009C4422"/>
    <w:rsid w:val="009D6106"/>
    <w:rsid w:val="009D6210"/>
    <w:rsid w:val="009D72B3"/>
    <w:rsid w:val="009E2B7B"/>
    <w:rsid w:val="009F0323"/>
    <w:rsid w:val="009F21E0"/>
    <w:rsid w:val="009F4316"/>
    <w:rsid w:val="009F5271"/>
    <w:rsid w:val="009F69A7"/>
    <w:rsid w:val="00A02DA8"/>
    <w:rsid w:val="00A06D82"/>
    <w:rsid w:val="00A078BA"/>
    <w:rsid w:val="00A1170C"/>
    <w:rsid w:val="00A11987"/>
    <w:rsid w:val="00A13E0A"/>
    <w:rsid w:val="00A17292"/>
    <w:rsid w:val="00A17DB9"/>
    <w:rsid w:val="00A35001"/>
    <w:rsid w:val="00A370A7"/>
    <w:rsid w:val="00A42B47"/>
    <w:rsid w:val="00A5155B"/>
    <w:rsid w:val="00A5169E"/>
    <w:rsid w:val="00A6746C"/>
    <w:rsid w:val="00A753C0"/>
    <w:rsid w:val="00A83309"/>
    <w:rsid w:val="00A835BE"/>
    <w:rsid w:val="00A841B1"/>
    <w:rsid w:val="00A86CC3"/>
    <w:rsid w:val="00A9131A"/>
    <w:rsid w:val="00A94116"/>
    <w:rsid w:val="00AA3398"/>
    <w:rsid w:val="00AB654E"/>
    <w:rsid w:val="00AB6EC7"/>
    <w:rsid w:val="00AC13E6"/>
    <w:rsid w:val="00AC245E"/>
    <w:rsid w:val="00AC53C4"/>
    <w:rsid w:val="00AC6637"/>
    <w:rsid w:val="00AD06C1"/>
    <w:rsid w:val="00AD791C"/>
    <w:rsid w:val="00AE3587"/>
    <w:rsid w:val="00AE386E"/>
    <w:rsid w:val="00AE7F11"/>
    <w:rsid w:val="00AF403F"/>
    <w:rsid w:val="00B02B4B"/>
    <w:rsid w:val="00B077A7"/>
    <w:rsid w:val="00B11357"/>
    <w:rsid w:val="00B14892"/>
    <w:rsid w:val="00B22F8C"/>
    <w:rsid w:val="00B249E4"/>
    <w:rsid w:val="00B24D06"/>
    <w:rsid w:val="00B33393"/>
    <w:rsid w:val="00B43101"/>
    <w:rsid w:val="00B52070"/>
    <w:rsid w:val="00B6056F"/>
    <w:rsid w:val="00B643D4"/>
    <w:rsid w:val="00B75EE9"/>
    <w:rsid w:val="00B84B0F"/>
    <w:rsid w:val="00B90FDB"/>
    <w:rsid w:val="00B9763C"/>
    <w:rsid w:val="00BA3E60"/>
    <w:rsid w:val="00BA4CF1"/>
    <w:rsid w:val="00BC343A"/>
    <w:rsid w:val="00BD2158"/>
    <w:rsid w:val="00BD3E25"/>
    <w:rsid w:val="00BD76FB"/>
    <w:rsid w:val="00BE73D8"/>
    <w:rsid w:val="00BF1419"/>
    <w:rsid w:val="00BF2764"/>
    <w:rsid w:val="00BF65E7"/>
    <w:rsid w:val="00C00525"/>
    <w:rsid w:val="00C00FA2"/>
    <w:rsid w:val="00C25AB5"/>
    <w:rsid w:val="00C26FF5"/>
    <w:rsid w:val="00C345AD"/>
    <w:rsid w:val="00C34B75"/>
    <w:rsid w:val="00C44AB3"/>
    <w:rsid w:val="00C60D09"/>
    <w:rsid w:val="00C614E5"/>
    <w:rsid w:val="00C63753"/>
    <w:rsid w:val="00C763F4"/>
    <w:rsid w:val="00CA13DD"/>
    <w:rsid w:val="00CA7247"/>
    <w:rsid w:val="00CB2672"/>
    <w:rsid w:val="00CE6FD7"/>
    <w:rsid w:val="00CE76E3"/>
    <w:rsid w:val="00CF1979"/>
    <w:rsid w:val="00CF4574"/>
    <w:rsid w:val="00D014C8"/>
    <w:rsid w:val="00D020CE"/>
    <w:rsid w:val="00D07F1D"/>
    <w:rsid w:val="00D10C61"/>
    <w:rsid w:val="00D10E3A"/>
    <w:rsid w:val="00D15736"/>
    <w:rsid w:val="00D16071"/>
    <w:rsid w:val="00D2050F"/>
    <w:rsid w:val="00D32040"/>
    <w:rsid w:val="00D445B6"/>
    <w:rsid w:val="00D57CBA"/>
    <w:rsid w:val="00D709A6"/>
    <w:rsid w:val="00D73555"/>
    <w:rsid w:val="00D73A6D"/>
    <w:rsid w:val="00D83AEA"/>
    <w:rsid w:val="00D85CC7"/>
    <w:rsid w:val="00D90337"/>
    <w:rsid w:val="00D90802"/>
    <w:rsid w:val="00D93F98"/>
    <w:rsid w:val="00D9401E"/>
    <w:rsid w:val="00DA2E27"/>
    <w:rsid w:val="00DB397B"/>
    <w:rsid w:val="00DC5CA2"/>
    <w:rsid w:val="00DC7B55"/>
    <w:rsid w:val="00DD2C00"/>
    <w:rsid w:val="00DE1955"/>
    <w:rsid w:val="00DE2C13"/>
    <w:rsid w:val="00DE3F92"/>
    <w:rsid w:val="00DF65D0"/>
    <w:rsid w:val="00E01C10"/>
    <w:rsid w:val="00E03C0F"/>
    <w:rsid w:val="00E16741"/>
    <w:rsid w:val="00E16EBD"/>
    <w:rsid w:val="00E246F8"/>
    <w:rsid w:val="00E41732"/>
    <w:rsid w:val="00E46D10"/>
    <w:rsid w:val="00E5265C"/>
    <w:rsid w:val="00E62F93"/>
    <w:rsid w:val="00E64AB4"/>
    <w:rsid w:val="00E66819"/>
    <w:rsid w:val="00E74EF4"/>
    <w:rsid w:val="00E800F6"/>
    <w:rsid w:val="00E8577F"/>
    <w:rsid w:val="00E96DEC"/>
    <w:rsid w:val="00EA25D3"/>
    <w:rsid w:val="00EB0D45"/>
    <w:rsid w:val="00EB7EBA"/>
    <w:rsid w:val="00EC3AD8"/>
    <w:rsid w:val="00EC66AE"/>
    <w:rsid w:val="00ED0C38"/>
    <w:rsid w:val="00ED3E5A"/>
    <w:rsid w:val="00ED4464"/>
    <w:rsid w:val="00EE4B13"/>
    <w:rsid w:val="00EF197B"/>
    <w:rsid w:val="00EF26D5"/>
    <w:rsid w:val="00EF41DB"/>
    <w:rsid w:val="00F0178D"/>
    <w:rsid w:val="00F14C16"/>
    <w:rsid w:val="00F21B5F"/>
    <w:rsid w:val="00F30732"/>
    <w:rsid w:val="00F331DF"/>
    <w:rsid w:val="00F33965"/>
    <w:rsid w:val="00F3505F"/>
    <w:rsid w:val="00F357B5"/>
    <w:rsid w:val="00F4692E"/>
    <w:rsid w:val="00F46FEB"/>
    <w:rsid w:val="00F473EC"/>
    <w:rsid w:val="00F53156"/>
    <w:rsid w:val="00F53EF3"/>
    <w:rsid w:val="00F570A3"/>
    <w:rsid w:val="00F820C1"/>
    <w:rsid w:val="00F838A8"/>
    <w:rsid w:val="00F84A5B"/>
    <w:rsid w:val="00F955BA"/>
    <w:rsid w:val="00F972E6"/>
    <w:rsid w:val="00FA2DB6"/>
    <w:rsid w:val="00FA37D1"/>
    <w:rsid w:val="00FA47C1"/>
    <w:rsid w:val="00FA4FA0"/>
    <w:rsid w:val="00FB2CF8"/>
    <w:rsid w:val="00FB661C"/>
    <w:rsid w:val="00FB701A"/>
    <w:rsid w:val="00FC3258"/>
    <w:rsid w:val="00FC3572"/>
    <w:rsid w:val="00FC440A"/>
    <w:rsid w:val="00FC706A"/>
    <w:rsid w:val="00FD1725"/>
    <w:rsid w:val="00FD42B0"/>
    <w:rsid w:val="00FD531B"/>
    <w:rsid w:val="00FE357D"/>
    <w:rsid w:val="00FE77E0"/>
    <w:rsid w:val="00FF163A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041FDE-25E9-44BC-9099-B7CBC978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01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ind w:right="-90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sid w:val="00A6746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A3E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96DEC"/>
    <w:rPr>
      <w:rFonts w:ascii="Verdana" w:hAnsi="Verdana" w:hint="default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05146"/>
    <w:pPr>
      <w:ind w:left="720"/>
      <w:contextualSpacing/>
    </w:pPr>
    <w:rPr>
      <w:rFonts w:ascii="Calibri" w:eastAsia="SimSun" w:hAnsi="Calibri" w:cs="Arial"/>
      <w:sz w:val="22"/>
      <w:szCs w:val="22"/>
      <w:lang w:val="en-US"/>
    </w:rPr>
  </w:style>
  <w:style w:type="paragraph" w:styleId="Header">
    <w:name w:val="header"/>
    <w:basedOn w:val="Normal"/>
    <w:link w:val="HeaderChar"/>
    <w:rsid w:val="000408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40831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408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40831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EC66AE"/>
    <w:rPr>
      <w:sz w:val="24"/>
      <w:szCs w:val="24"/>
      <w:lang w:val="en-GB"/>
    </w:rPr>
  </w:style>
  <w:style w:type="table" w:styleId="TableGrid">
    <w:name w:val="Table Grid"/>
    <w:basedOn w:val="TableNormal"/>
    <w:rsid w:val="0025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_body_text"/>
    <w:qFormat/>
    <w:rsid w:val="00A078BA"/>
    <w:pPr>
      <w:spacing w:after="120"/>
      <w:ind w:right="83"/>
    </w:pPr>
    <w:rPr>
      <w:rFonts w:asciiTheme="minorHAnsi" w:hAnsiTheme="minorHAnsi" w:cstheme="minorHAnsi"/>
      <w:lang w:val="fr-FR"/>
    </w:rPr>
  </w:style>
  <w:style w:type="character" w:styleId="FollowedHyperlink">
    <w:name w:val="FollowedHyperlink"/>
    <w:basedOn w:val="DefaultParagraphFont"/>
    <w:rsid w:val="00575AE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464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rsid w:val="005C1C5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C1C5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5C1C5E"/>
    <w:rPr>
      <w:b/>
      <w:bCs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BD2158"/>
    <w:rPr>
      <w:rFonts w:ascii="Calibri" w:eastAsia="SimSun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B9763C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ru-RU" w:eastAsia="en-US"/>
    </w:rPr>
  </w:style>
  <w:style w:type="paragraph" w:customStyle="1" w:styleId="Default">
    <w:name w:val="Default"/>
    <w:rsid w:val="00354B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og.ch/80256EE60057CB67/(httpPages)/BAE3AF717207A5AF80256EF80049C552?OpenDocu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qgoverningbodies@who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og.ch/80256EE60057CB67/(httpPages)/BAE3AF717207A5AF80256EF80049C552?OpenDocume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5EF8-E54B-4DD2-BE3B-9E158EDC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WHA57/AMS57</vt:lpstr>
    </vt:vector>
  </TitlesOfParts>
  <Company>World Health Organization</Company>
  <LinksUpToDate>false</LinksUpToDate>
  <CharactersWithSpaces>8763</CharactersWithSpaces>
  <SharedDoc>false</SharedDoc>
  <HLinks>
    <vt:vector size="42" baseType="variant">
      <vt:variant>
        <vt:i4>7602255</vt:i4>
      </vt:variant>
      <vt:variant>
        <vt:i4>60</vt:i4>
      </vt:variant>
      <vt:variant>
        <vt:i4>0</vt:i4>
      </vt:variant>
      <vt:variant>
        <vt:i4>5</vt:i4>
      </vt:variant>
      <vt:variant>
        <vt:lpwstr>mailto:CMP@who.int</vt:lpwstr>
      </vt:variant>
      <vt:variant>
        <vt:lpwstr/>
      </vt:variant>
      <vt:variant>
        <vt:i4>7929931</vt:i4>
      </vt:variant>
      <vt:variant>
        <vt:i4>57</vt:i4>
      </vt:variant>
      <vt:variant>
        <vt:i4>0</vt:i4>
      </vt:variant>
      <vt:variant>
        <vt:i4>5</vt:i4>
      </vt:variant>
      <vt:variant>
        <vt:lpwstr>mailto:CMPmail@who.int</vt:lpwstr>
      </vt:variant>
      <vt:variant>
        <vt:lpwstr/>
      </vt:variant>
      <vt:variant>
        <vt:i4>1900601</vt:i4>
      </vt:variant>
      <vt:variant>
        <vt:i4>54</vt:i4>
      </vt:variant>
      <vt:variant>
        <vt:i4>0</vt:i4>
      </vt:variant>
      <vt:variant>
        <vt:i4>5</vt:i4>
      </vt:variant>
      <vt:variant>
        <vt:lpwstr>mailto:veag@who.int</vt:lpwstr>
      </vt:variant>
      <vt:variant>
        <vt:lpwstr/>
      </vt:variant>
      <vt:variant>
        <vt:i4>1900601</vt:i4>
      </vt:variant>
      <vt:variant>
        <vt:i4>51</vt:i4>
      </vt:variant>
      <vt:variant>
        <vt:i4>0</vt:i4>
      </vt:variant>
      <vt:variant>
        <vt:i4>5</vt:i4>
      </vt:variant>
      <vt:variant>
        <vt:lpwstr>mailto:veag@who.int</vt:lpwstr>
      </vt:variant>
      <vt:variant>
        <vt:lpwstr/>
      </vt:variant>
      <vt:variant>
        <vt:i4>851984</vt:i4>
      </vt:variant>
      <vt:variant>
        <vt:i4>34</vt:i4>
      </vt:variant>
      <vt:variant>
        <vt:i4>0</vt:i4>
      </vt:variant>
      <vt:variant>
        <vt:i4>5</vt:i4>
      </vt:variant>
      <vt:variant>
        <vt:lpwstr>http://www.unog.ch/80256EE60057CB67/(httpPages)/BAE3AF717207A5AF80256EF80049C552?OpenDocument</vt:lpwstr>
      </vt:variant>
      <vt:variant>
        <vt:lpwstr/>
      </vt:variant>
      <vt:variant>
        <vt:i4>851984</vt:i4>
      </vt:variant>
      <vt:variant>
        <vt:i4>31</vt:i4>
      </vt:variant>
      <vt:variant>
        <vt:i4>0</vt:i4>
      </vt:variant>
      <vt:variant>
        <vt:i4>5</vt:i4>
      </vt:variant>
      <vt:variant>
        <vt:lpwstr>http://www.unog.ch/80256EE60057CB67/(httpPages)/BAE3AF717207A5AF80256EF80049C552?OpenDocument</vt:lpwstr>
      </vt:variant>
      <vt:variant>
        <vt:lpwstr/>
      </vt:variant>
      <vt:variant>
        <vt:i4>7667802</vt:i4>
      </vt:variant>
      <vt:variant>
        <vt:i4>28</vt:i4>
      </vt:variant>
      <vt:variant>
        <vt:i4>0</vt:i4>
      </vt:variant>
      <vt:variant>
        <vt:i4>5</vt:i4>
      </vt:variant>
      <vt:variant>
        <vt:lpwstr>mailto:cateringevents@who.int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WHA57/AMS57</dc:title>
  <dc:creator>Daffara Chrystelle</dc:creator>
  <cp:lastModifiedBy>Nana Kavtaradze</cp:lastModifiedBy>
  <cp:revision>2</cp:revision>
  <cp:lastPrinted>2018-03-30T15:35:00Z</cp:lastPrinted>
  <dcterms:created xsi:type="dcterms:W3CDTF">2018-03-30T16:09:00Z</dcterms:created>
  <dcterms:modified xsi:type="dcterms:W3CDTF">2018-03-30T16:09:00Z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